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E568" w14:textId="77777777" w:rsidR="006F0DCC" w:rsidRPr="00E26F58" w:rsidRDefault="006F0DCC" w:rsidP="0015678B">
      <w:pPr>
        <w:jc w:val="center"/>
      </w:pPr>
      <w:r>
        <w:rPr>
          <w:noProof/>
          <w:lang w:val="en-GB" w:eastAsia="en-GB" w:bidi="ar-SA"/>
        </w:rPr>
        <w:drawing>
          <wp:inline distT="0" distB="0" distL="0" distR="0" wp14:anchorId="5B3BE5E6" wp14:editId="5B3BE5E7">
            <wp:extent cx="874395" cy="5645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3BE5E8" wp14:editId="5B3BE5E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BE5EF" w14:textId="77777777" w:rsidR="00D15D19" w:rsidRPr="007E50BF" w:rsidRDefault="00D15D19" w:rsidP="00944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BE5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B3BE5EF" w14:textId="77777777" w:rsidR="00D15D19" w:rsidRPr="007E50BF" w:rsidRDefault="00D15D19" w:rsidP="0094419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3BE569" w14:textId="77777777" w:rsidR="00563C84" w:rsidRPr="00E26F58" w:rsidRDefault="006F0DCC" w:rsidP="0015678B">
      <w:pPr>
        <w:jc w:val="center"/>
      </w:pPr>
      <w:r>
        <w:rPr>
          <w:rFonts w:ascii="Arial" w:hAnsi="Arial"/>
          <w:b/>
          <w:i/>
          <w:sz w:val="20"/>
        </w:rPr>
        <w:t>Europski gospodarski i socijalni odbor</w:t>
      </w:r>
    </w:p>
    <w:p w14:paraId="5B3BE56A" w14:textId="77777777" w:rsidR="00646AC2" w:rsidRPr="00E26F58" w:rsidRDefault="00646AC2" w:rsidP="0015678B"/>
    <w:p w14:paraId="5B3BE56B" w14:textId="4ED44C12" w:rsidR="00646AC2" w:rsidRPr="00E26F58" w:rsidRDefault="009300C5" w:rsidP="0015678B">
      <w:pPr>
        <w:jc w:val="right"/>
      </w:pPr>
      <w:r>
        <w:rPr>
          <w:b/>
        </w:rPr>
        <w:t>TEN/655</w:t>
      </w:r>
    </w:p>
    <w:p w14:paraId="5B3BE56C" w14:textId="057CAC6A" w:rsidR="00563C84" w:rsidRPr="00E26F58" w:rsidRDefault="000B0B6E" w:rsidP="0015678B">
      <w:pPr>
        <w:jc w:val="right"/>
      </w:pPr>
      <w:r>
        <w:rPr>
          <w:b/>
        </w:rPr>
        <w:t>Ostvarivanje mobilnosti s niskom razinom emisija</w:t>
      </w:r>
    </w:p>
    <w:p w14:paraId="5B3BE56D" w14:textId="77777777" w:rsidR="009B30AA" w:rsidRPr="00E26F58" w:rsidRDefault="009B30AA" w:rsidP="0015678B"/>
    <w:p w14:paraId="5B3BE56E" w14:textId="77777777" w:rsidR="009B30AA" w:rsidRPr="00E26F58" w:rsidRDefault="009B30AA" w:rsidP="0015678B"/>
    <w:p w14:paraId="5B3BE570" w14:textId="081D6527" w:rsidR="009B30AA" w:rsidRPr="00E26F58" w:rsidRDefault="00932DD8" w:rsidP="0015678B">
      <w:pPr>
        <w:jc w:val="center"/>
      </w:pPr>
      <w:r>
        <w:rPr>
          <w:b/>
        </w:rPr>
        <w:t>MIŠLJENJE</w:t>
      </w:r>
      <w:r>
        <w:br/>
      </w:r>
      <w:r>
        <w:br/>
        <w:t>Europski gospodarski i socijalni odbor</w:t>
      </w:r>
      <w:r>
        <w:br/>
      </w:r>
      <w:r>
        <w:br/>
      </w:r>
      <w:r>
        <w:rPr>
          <w:b/>
        </w:rPr>
        <w:t>Komunikacija Komisije Europskom parlamentu, Vijeću, Europskom gospodarskom i socijalnom odboru i Odboru regija – Ostvarivanje mobilnosti s niskom razinom emisija</w:t>
      </w:r>
      <w:r>
        <w:t>.</w:t>
      </w:r>
      <w:r>
        <w:rPr>
          <w:b/>
        </w:rPr>
        <w:t xml:space="preserve"> Europska unija koja štiti naš planet, osnažuje svoje potrošače te brani svoju industriju i radnike</w:t>
      </w:r>
      <w:r>
        <w:br/>
        <w:t>[COM(2017) 675 final]</w:t>
      </w:r>
      <w:r>
        <w:br/>
      </w:r>
    </w:p>
    <w:p w14:paraId="5B3BE581" w14:textId="3E33F970" w:rsidR="00704FBB" w:rsidRPr="00E26F58" w:rsidRDefault="007F5E0D" w:rsidP="0015678B">
      <w:pPr>
        <w:jc w:val="center"/>
        <w:rPr>
          <w:b/>
        </w:rPr>
      </w:pPr>
      <w:r>
        <w:t xml:space="preserve">Izvjestitelj: </w:t>
      </w:r>
      <w:r>
        <w:rPr>
          <w:b/>
        </w:rPr>
        <w:t xml:space="preserve">Ulrich SAMM </w:t>
      </w:r>
    </w:p>
    <w:p w14:paraId="5B3BE582" w14:textId="77777777" w:rsidR="00E32DC6" w:rsidRPr="00E26F58" w:rsidRDefault="00E32DC6" w:rsidP="0015678B"/>
    <w:p w14:paraId="5B3BE583" w14:textId="77777777" w:rsidR="00E32DC6" w:rsidRPr="00E26F58" w:rsidRDefault="00E32DC6" w:rsidP="0015678B"/>
    <w:p w14:paraId="5B3BE584" w14:textId="77777777" w:rsidR="00E32DC6" w:rsidRPr="00E26F58" w:rsidRDefault="00E32DC6" w:rsidP="0015678B">
      <w:pPr>
        <w:sectPr w:rsidR="00E32DC6" w:rsidRPr="00E26F58" w:rsidSect="00B04C7B">
          <w:footerReference w:type="default" r:id="rId13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14:paraId="5B3BE5A3" w14:textId="28E20C9F" w:rsidR="0012220C" w:rsidRPr="00E26F58" w:rsidRDefault="0012220C" w:rsidP="0015678B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11656A" w:rsidRPr="00E26F58" w14:paraId="5B3BE5A6" w14:textId="77777777" w:rsidTr="007E50BF">
        <w:tc>
          <w:tcPr>
            <w:tcW w:w="3085" w:type="dxa"/>
          </w:tcPr>
          <w:p w14:paraId="5B3BE5A4" w14:textId="0E00014C" w:rsidR="0011656A" w:rsidRPr="00E26F58" w:rsidRDefault="00B727D0" w:rsidP="0026257F">
            <w:pPr>
              <w:jc w:val="left"/>
            </w:pPr>
            <w:r>
              <w:t>Zahtjev za savjetovanje:</w:t>
            </w:r>
          </w:p>
        </w:tc>
        <w:tc>
          <w:tcPr>
            <w:tcW w:w="6202" w:type="dxa"/>
          </w:tcPr>
          <w:p w14:paraId="5B3BE5A5" w14:textId="59C66257" w:rsidR="0005019F" w:rsidRPr="00E26F58" w:rsidRDefault="00B727D0" w:rsidP="0026257F">
            <w:pPr>
              <w:jc w:val="left"/>
            </w:pPr>
            <w:r>
              <w:t>Europska komisija, 18/01/2018</w:t>
            </w:r>
          </w:p>
        </w:tc>
      </w:tr>
      <w:tr w:rsidR="0016503F" w:rsidRPr="00E26F58" w14:paraId="5B3BE5A9" w14:textId="77777777" w:rsidTr="007E50BF">
        <w:trPr>
          <w:trHeight w:val="251"/>
        </w:trPr>
        <w:tc>
          <w:tcPr>
            <w:tcW w:w="3085" w:type="dxa"/>
          </w:tcPr>
          <w:p w14:paraId="5B3BE5A7" w14:textId="77777777" w:rsidR="0016503F" w:rsidRPr="00E26F58" w:rsidRDefault="0016503F" w:rsidP="0026257F">
            <w:pPr>
              <w:jc w:val="left"/>
            </w:pPr>
            <w:r>
              <w:t>Pravni temelj:</w:t>
            </w:r>
          </w:p>
        </w:tc>
        <w:tc>
          <w:tcPr>
            <w:tcW w:w="6202" w:type="dxa"/>
          </w:tcPr>
          <w:p w14:paraId="5B3BE5A8" w14:textId="5ABF762C" w:rsidR="0016503F" w:rsidRPr="00E26F58" w:rsidRDefault="00436571" w:rsidP="0026257F">
            <w:pPr>
              <w:jc w:val="left"/>
            </w:pPr>
            <w:r>
              <w:t>članak 304. Ugovora o funkcioniranju Europske unije</w:t>
            </w:r>
          </w:p>
        </w:tc>
      </w:tr>
      <w:tr w:rsidR="00BA1290" w:rsidRPr="00E26F58" w14:paraId="5B3BE5C1" w14:textId="77777777" w:rsidTr="007E50BF">
        <w:tc>
          <w:tcPr>
            <w:tcW w:w="3085" w:type="dxa"/>
          </w:tcPr>
          <w:p w14:paraId="5B3BE5BF" w14:textId="77777777" w:rsidR="00BA1290" w:rsidRPr="00E26F58" w:rsidRDefault="00BA1290" w:rsidP="0026257F">
            <w:pPr>
              <w:jc w:val="left"/>
            </w:pPr>
          </w:p>
        </w:tc>
        <w:tc>
          <w:tcPr>
            <w:tcW w:w="6202" w:type="dxa"/>
          </w:tcPr>
          <w:p w14:paraId="5B3BE5C0" w14:textId="77777777" w:rsidR="00BA1290" w:rsidRPr="00E26F58" w:rsidRDefault="00BA1290" w:rsidP="0026257F">
            <w:pPr>
              <w:jc w:val="left"/>
            </w:pPr>
          </w:p>
        </w:tc>
      </w:tr>
      <w:tr w:rsidR="00DF5B64" w:rsidRPr="00E26F58" w14:paraId="5B3BE5C4" w14:textId="77777777" w:rsidTr="007E50BF">
        <w:tc>
          <w:tcPr>
            <w:tcW w:w="3085" w:type="dxa"/>
          </w:tcPr>
          <w:p w14:paraId="5B3BE5C2" w14:textId="77777777" w:rsidR="00DF5B64" w:rsidRPr="00E26F58" w:rsidRDefault="00AD4B4F" w:rsidP="0026257F">
            <w:pPr>
              <w:jc w:val="left"/>
            </w:pPr>
            <w:r>
              <w:t>Nadležna stručna skupina:</w:t>
            </w:r>
          </w:p>
        </w:tc>
        <w:tc>
          <w:tcPr>
            <w:tcW w:w="6202" w:type="dxa"/>
          </w:tcPr>
          <w:p w14:paraId="5B3BE5C3" w14:textId="63FDE1CE" w:rsidR="00DF5B64" w:rsidRPr="00E26F58" w:rsidRDefault="00474A0E" w:rsidP="0026257F">
            <w:pPr>
              <w:jc w:val="left"/>
            </w:pPr>
            <w:r>
              <w:t>Stručna skupina za prijevoz, energiju, infrastrukturu i informacijsko društvo</w:t>
            </w:r>
          </w:p>
        </w:tc>
      </w:tr>
      <w:tr w:rsidR="00A156E6" w:rsidRPr="00E26F58" w14:paraId="5B3BE5C7" w14:textId="77777777" w:rsidTr="007E50BF">
        <w:tc>
          <w:tcPr>
            <w:tcW w:w="3085" w:type="dxa"/>
          </w:tcPr>
          <w:p w14:paraId="5B3BE5C5" w14:textId="77777777" w:rsidR="00A156E6" w:rsidRPr="00E26F58" w:rsidRDefault="00A156E6" w:rsidP="0026257F">
            <w:pPr>
              <w:jc w:val="left"/>
            </w:pPr>
            <w:r>
              <w:t>Datum usvajanja u Stručnoj skupini:</w:t>
            </w:r>
          </w:p>
        </w:tc>
        <w:tc>
          <w:tcPr>
            <w:tcW w:w="6202" w:type="dxa"/>
          </w:tcPr>
          <w:p w14:paraId="5B3BE5C6" w14:textId="7BCE6229" w:rsidR="00A156E6" w:rsidRPr="00E26F58" w:rsidRDefault="00674C7D">
            <w:pPr>
              <w:jc w:val="left"/>
            </w:pPr>
            <w:r>
              <w:t>05/04/2018</w:t>
            </w:r>
          </w:p>
        </w:tc>
      </w:tr>
      <w:tr w:rsidR="00A156E6" w:rsidRPr="00E26F58" w14:paraId="5B3BE5CA" w14:textId="77777777" w:rsidTr="007E50BF">
        <w:tc>
          <w:tcPr>
            <w:tcW w:w="3085" w:type="dxa"/>
          </w:tcPr>
          <w:p w14:paraId="5B3BE5C8" w14:textId="77777777" w:rsidR="00A156E6" w:rsidRPr="00E26F58" w:rsidRDefault="00A156E6" w:rsidP="0026257F">
            <w:pPr>
              <w:jc w:val="left"/>
            </w:pPr>
            <w:r>
              <w:t>Datum usvajanja na plenarnom zasjedanju:</w:t>
            </w:r>
          </w:p>
        </w:tc>
        <w:tc>
          <w:tcPr>
            <w:tcW w:w="6202" w:type="dxa"/>
          </w:tcPr>
          <w:p w14:paraId="5B3BE5C9" w14:textId="6DF92CCB" w:rsidR="00A156E6" w:rsidRPr="00E26F58" w:rsidRDefault="00F10BA2">
            <w:pPr>
              <w:jc w:val="left"/>
            </w:pPr>
            <w:r>
              <w:t>19/04/2018</w:t>
            </w:r>
          </w:p>
        </w:tc>
      </w:tr>
      <w:tr w:rsidR="00BA1290" w:rsidRPr="00E26F58" w14:paraId="5B3BE5CD" w14:textId="77777777" w:rsidTr="007E50BF">
        <w:tc>
          <w:tcPr>
            <w:tcW w:w="3085" w:type="dxa"/>
          </w:tcPr>
          <w:p w14:paraId="5B3BE5CB" w14:textId="77777777" w:rsidR="00BA1290" w:rsidRPr="00E26F58" w:rsidRDefault="00BA1290" w:rsidP="0026257F">
            <w:pPr>
              <w:jc w:val="left"/>
            </w:pPr>
            <w:r>
              <w:t>Plenarno zasjedanje br.:</w:t>
            </w:r>
          </w:p>
        </w:tc>
        <w:tc>
          <w:tcPr>
            <w:tcW w:w="6202" w:type="dxa"/>
          </w:tcPr>
          <w:p w14:paraId="5B3BE5CC" w14:textId="0B3859CA" w:rsidR="00BA1290" w:rsidRPr="00E26F58" w:rsidRDefault="00F10BA2" w:rsidP="0026257F">
            <w:pPr>
              <w:jc w:val="left"/>
            </w:pPr>
            <w:r>
              <w:t>534</w:t>
            </w:r>
          </w:p>
        </w:tc>
      </w:tr>
      <w:tr w:rsidR="00A156E6" w:rsidRPr="00E26F58" w14:paraId="5B3BE5D0" w14:textId="77777777" w:rsidTr="007E50BF">
        <w:tc>
          <w:tcPr>
            <w:tcW w:w="3085" w:type="dxa"/>
          </w:tcPr>
          <w:p w14:paraId="5B3BE5CE" w14:textId="28579595" w:rsidR="00D423D4" w:rsidRPr="00E26F58" w:rsidRDefault="00F57626" w:rsidP="0026257F">
            <w:pPr>
              <w:jc w:val="left"/>
            </w:pPr>
            <w:r>
              <w:t xml:space="preserve">Rezultat glasovanja </w:t>
            </w:r>
            <w:r w:rsidR="0043024C">
              <w:br/>
              <w:t>(za/protiv/suzdržani):</w:t>
            </w:r>
          </w:p>
        </w:tc>
        <w:tc>
          <w:tcPr>
            <w:tcW w:w="6202" w:type="dxa"/>
            <w:vAlign w:val="bottom"/>
          </w:tcPr>
          <w:p w14:paraId="5B3BE5CF" w14:textId="0BD95F65" w:rsidR="00A156E6" w:rsidRPr="00E26F58" w:rsidRDefault="000858FA">
            <w:pPr>
              <w:jc w:val="left"/>
            </w:pPr>
            <w:r>
              <w:t>201/0/3</w:t>
            </w:r>
          </w:p>
        </w:tc>
      </w:tr>
    </w:tbl>
    <w:p w14:paraId="5B3BE5D1" w14:textId="77777777" w:rsidR="0090053A" w:rsidRPr="00E26F58" w:rsidRDefault="0090053A" w:rsidP="0015678B"/>
    <w:p w14:paraId="5B3BE5D2" w14:textId="77777777" w:rsidR="00646AC2" w:rsidRPr="00E26F58" w:rsidRDefault="00646AC2" w:rsidP="0015678B">
      <w:r>
        <w:br w:type="page"/>
      </w:r>
    </w:p>
    <w:p w14:paraId="5B3BE5D3" w14:textId="77777777" w:rsidR="00011D33" w:rsidRPr="00E26F58" w:rsidRDefault="00011D33">
      <w:pPr>
        <w:pStyle w:val="Heading1"/>
        <w:keepNext/>
        <w:rPr>
          <w:b/>
        </w:rPr>
      </w:pPr>
      <w:r>
        <w:rPr>
          <w:b/>
        </w:rPr>
        <w:lastRenderedPageBreak/>
        <w:t>Zaključci i preporuke</w:t>
      </w:r>
    </w:p>
    <w:p w14:paraId="5B3BE5D4" w14:textId="77777777" w:rsidR="00011D33" w:rsidRPr="00E26F58" w:rsidRDefault="00011D33">
      <w:pPr>
        <w:keepNext/>
      </w:pPr>
    </w:p>
    <w:p w14:paraId="3B6C63C6" w14:textId="0967D122" w:rsidR="008E1731" w:rsidRPr="00E26F58" w:rsidRDefault="008E1731">
      <w:pPr>
        <w:pStyle w:val="Heading2"/>
        <w:ind w:left="567" w:hanging="567"/>
      </w:pPr>
      <w:r>
        <w:t xml:space="preserve">Usredotočenost ove Komunikacije na cestovni prijevoz zasniva se na industriji koja zauzima </w:t>
      </w:r>
      <w:r>
        <w:rPr>
          <w:b/>
        </w:rPr>
        <w:t>vodeće mjesto u svijetu</w:t>
      </w:r>
      <w:r>
        <w:t xml:space="preserve"> po proizvodnji i pružanju usluga. Ta snažna pozicija mora se održati i upotrijebiti za ubrzanje, preobrazbu i učvršćivanje prelaska gospodarstva EU-a na čistu energiju uz važan cilj dostizanja </w:t>
      </w:r>
      <w:r>
        <w:rPr>
          <w:b/>
        </w:rPr>
        <w:t>vodeće uloge u novim tehnologijama</w:t>
      </w:r>
      <w:r>
        <w:t xml:space="preserve"> na svjetskom tržištu.</w:t>
      </w:r>
    </w:p>
    <w:p w14:paraId="6C4A3B1C" w14:textId="77777777" w:rsidR="00A10E8C" w:rsidRPr="00E26F58" w:rsidRDefault="00A10E8C" w:rsidP="00FD408F"/>
    <w:p w14:paraId="51B3F872" w14:textId="709512F5" w:rsidR="008E1731" w:rsidRPr="00E26F58" w:rsidRDefault="008E1731">
      <w:pPr>
        <w:pStyle w:val="Heading2"/>
        <w:ind w:left="567" w:hanging="567"/>
      </w:pPr>
      <w:r>
        <w:t xml:space="preserve">EGSO pozdravlja opći </w:t>
      </w:r>
      <w:r>
        <w:rPr>
          <w:b/>
        </w:rPr>
        <w:t>tehnološko neutralan pristup</w:t>
      </w:r>
      <w:r>
        <w:t>, otvoren novim kretanjima. Međutim, napominje da se inicijative ne provode u potpunosti u skladu s tim pristupom. Ne možemo se pouzdati u to da će naša mobilnost u budućnosti biti u cijelosti na električni pogon; osim toga, i druge pogonske tehnologije, poput vodikovih goriva ili potpuno nefosilnih tekućih goriva kao što je HVO100, imaju veliki potencijal za čistu mobilnost. EGSO izražava žaljenje zbog toga što se o tome ne vodi dovoljno računa.</w:t>
      </w:r>
    </w:p>
    <w:p w14:paraId="26882E91" w14:textId="77777777" w:rsidR="00A10E8C" w:rsidRPr="00E26F58" w:rsidRDefault="00A10E8C">
      <w:pPr>
        <w:ind w:left="567" w:hanging="567"/>
      </w:pPr>
    </w:p>
    <w:p w14:paraId="76513231" w14:textId="7918FD23" w:rsidR="008E1731" w:rsidRPr="00E26F58" w:rsidRDefault="008E1731">
      <w:pPr>
        <w:pStyle w:val="Heading2"/>
        <w:ind w:left="567" w:hanging="567"/>
      </w:pPr>
      <w:r>
        <w:t xml:space="preserve">EGSO pozdravlja inicijative usmjerene na obnovu </w:t>
      </w:r>
      <w:r>
        <w:rPr>
          <w:b/>
        </w:rPr>
        <w:t>povjerenja potrošača</w:t>
      </w:r>
      <w:r>
        <w:t xml:space="preserve"> u automobilsku industriju i u regulatorni sustav s pomoću realnih standarda za emisije i novih postupaka ispitivanja. U tom je kontekstu od presudne važnosti da se sama automobilska industrija za to pobrine i da preuzme odgovornost. </w:t>
      </w:r>
    </w:p>
    <w:p w14:paraId="55E61776" w14:textId="77777777" w:rsidR="00A10E8C" w:rsidRPr="00E26F58" w:rsidRDefault="00A10E8C" w:rsidP="00FD408F"/>
    <w:p w14:paraId="1A5F550B" w14:textId="4EB4243F" w:rsidR="008E1731" w:rsidRPr="00E26F58" w:rsidRDefault="008E1731">
      <w:pPr>
        <w:pStyle w:val="Heading2"/>
        <w:ind w:left="567" w:hanging="567"/>
      </w:pPr>
      <w:r>
        <w:t xml:space="preserve">EGSO napominje da se trenutačno svake godine plasira oko četrnaest milijuna novih automobila, kojima se zamjenjuje tek 5 % ukupnog voznog parka od 253 milijuna automobila u EU-u. Premda će se emisije smanjiti i uz tu </w:t>
      </w:r>
      <w:r>
        <w:rPr>
          <w:b/>
        </w:rPr>
        <w:t>stopu zamjene</w:t>
      </w:r>
      <w:r>
        <w:t xml:space="preserve">, to nije dovoljno. Stoga EGSO pozdravlja sve inicijative koje bi mogle ubrzati stopu obnove postojećeg voznog parka u Europi te time pridonijeti bržem smanjenju emisija. Međutim, pozornost Komisije trebalo bi usmjeriti na potrebu za suzbijanjem prakse u okviru koje se automobili s određenih europskih tržišta povlače, ali se zatim prodaju i koriste na drugim tržištima (vidjeti točku 4.7). </w:t>
      </w:r>
    </w:p>
    <w:p w14:paraId="41CA2DA1" w14:textId="77777777" w:rsidR="00A10E8C" w:rsidRPr="00E26F58" w:rsidRDefault="00A10E8C" w:rsidP="00FD408F"/>
    <w:p w14:paraId="11656E4C" w14:textId="6FDF5A61" w:rsidR="008E1731" w:rsidRPr="00E26F58" w:rsidRDefault="008E1731">
      <w:pPr>
        <w:pStyle w:val="Heading2"/>
        <w:ind w:left="567" w:hanging="567"/>
      </w:pPr>
      <w:r>
        <w:t xml:space="preserve">Moramo biti svjesni činjenice da je za znatno povećanje udjela vozila s niskom razinom emisija potrebno </w:t>
      </w:r>
      <w:r>
        <w:rPr>
          <w:b/>
        </w:rPr>
        <w:t>prijelazno razdoblje</w:t>
      </w:r>
      <w:r>
        <w:t>, čije će trajanje ovisiti o dostignućima automobilske industrije, o brzini kojom potrošači prihvaćaju nove tehnologije, o troškovima, kao i o drugim čimbenicima poput infrastrukture za punjenje. EGSO ističe da prijelazno razdoblje ne opravdava premašivanje granične vrijednosti emisija iz dizelskih automobila, kao i da se problem naknadnog opremanja dizelskih automobila i povezane odgovornosti za snošenje troškova mora brzo riješiti.</w:t>
      </w:r>
    </w:p>
    <w:p w14:paraId="7B451433" w14:textId="77777777" w:rsidR="008E1731" w:rsidRPr="00E26F58" w:rsidRDefault="008E1731">
      <w:pPr>
        <w:pStyle w:val="Heading2"/>
        <w:numPr>
          <w:ilvl w:val="0"/>
          <w:numId w:val="0"/>
        </w:numPr>
        <w:ind w:left="567" w:hanging="567"/>
      </w:pPr>
    </w:p>
    <w:p w14:paraId="2424EA61" w14:textId="2EF99F02" w:rsidR="008E1731" w:rsidRPr="00E26F58" w:rsidRDefault="008E1731">
      <w:pPr>
        <w:pStyle w:val="Heading2"/>
        <w:ind w:left="567" w:hanging="567"/>
      </w:pPr>
      <w:r>
        <w:t xml:space="preserve">EGSO od Europske komisije traži da napravi bolju i jasniju razliku između </w:t>
      </w:r>
      <w:r>
        <w:rPr>
          <w:b/>
        </w:rPr>
        <w:t>zaštite klime</w:t>
      </w:r>
      <w:r>
        <w:t xml:space="preserve"> i poboljšanja kvalitete </w:t>
      </w:r>
      <w:r>
        <w:rPr>
          <w:b/>
        </w:rPr>
        <w:t>zraka na lokalnoj razini</w:t>
      </w:r>
      <w:r>
        <w:t xml:space="preserve">. To je važno ako želimo pridobiti građane za javna i privatna ulaganja. Određene vrste goriva za električna vozila – primjerice električna energija ili vodik – mogu pridonijeti poboljšanju kvalitete zraka u gradovima, ali ako se dobivaju iz elektrana na ugljen, nisu dobre za klimu. S druge strane, iako su vozila s niskim emisijama na prirodni plin iz biometana (radi se uglavnom o metanu iz raznih izvora, uključujući podzemne organske materijale, materijale iz sintetičkih kemijskih procesa ili njihovu kombinaciju) klimatski prihvatljiva, svejedno mogu pridonijeti onečišćenju zraka na lokalnoj razini. </w:t>
      </w:r>
    </w:p>
    <w:p w14:paraId="37405CD6" w14:textId="77777777" w:rsidR="008E1731" w:rsidRPr="00E26F58" w:rsidRDefault="008E1731">
      <w:pPr>
        <w:pStyle w:val="Heading2"/>
        <w:numPr>
          <w:ilvl w:val="0"/>
          <w:numId w:val="0"/>
        </w:numPr>
        <w:ind w:left="567" w:hanging="567"/>
      </w:pPr>
    </w:p>
    <w:p w14:paraId="3B36502A" w14:textId="0F53CFFE" w:rsidR="008E1731" w:rsidRPr="00E26F58" w:rsidRDefault="008E1731">
      <w:pPr>
        <w:pStyle w:val="Heading2"/>
        <w:ind w:left="567" w:hanging="567"/>
      </w:pPr>
      <w:r>
        <w:lastRenderedPageBreak/>
        <w:t xml:space="preserve">EGSO poziva Komisiju da što više pojednostavi pristup potrošača cjenovno pristupačnim novim i čišćim oblicima mobilnosti te da osigura da prednosti tih novih usluga mobilnosti budu dostupne svima i da budu ravnomjerno raspoređene diljem Unije. Neki od predloženih </w:t>
      </w:r>
      <w:r>
        <w:rPr>
          <w:b/>
        </w:rPr>
        <w:t>instrumenata financiranja</w:t>
      </w:r>
      <w:r>
        <w:t xml:space="preserve"> mogu pomoći u rješavanju tog problema, no Odbor smatra da nisu dostatni. </w:t>
      </w:r>
    </w:p>
    <w:p w14:paraId="2DAE2D9B" w14:textId="77777777" w:rsidR="008E1731" w:rsidRPr="00E26F58" w:rsidRDefault="008E1731">
      <w:pPr>
        <w:pStyle w:val="Heading2"/>
        <w:numPr>
          <w:ilvl w:val="0"/>
          <w:numId w:val="0"/>
        </w:numPr>
        <w:ind w:left="567" w:hanging="567"/>
      </w:pPr>
    </w:p>
    <w:p w14:paraId="79E3CAEC" w14:textId="067BACDE" w:rsidR="00903B91" w:rsidRPr="00E26F58" w:rsidRDefault="008E1731">
      <w:pPr>
        <w:pStyle w:val="Heading2"/>
        <w:ind w:left="567" w:hanging="567"/>
      </w:pPr>
      <w:r>
        <w:t xml:space="preserve">EGSO pozdravlja važnu ulogu koju Komisija ima u oblikovanju paneuropskog udruženja industrija s ciljem uspostave cjelovitog lanca vrijednosti za razvoj i proizvodnju naprednih </w:t>
      </w:r>
      <w:r>
        <w:rPr>
          <w:b/>
        </w:rPr>
        <w:t>baterija</w:t>
      </w:r>
      <w:r>
        <w:t xml:space="preserve"> u EU-u. Veći udio proizvodnje duž lanca vrijednosti unutar EU-a ključan je za naša radna mjesta; a jamstvo da su proizvedene baterije „čiste” najbolje se može osigurati ekološkim normama i pravilima EU-a, na primjer pristupom kružne ekonomije.</w:t>
      </w:r>
    </w:p>
    <w:p w14:paraId="47EE76E7" w14:textId="77777777" w:rsidR="00903B91" w:rsidRPr="00E26F58" w:rsidRDefault="00903B91"/>
    <w:p w14:paraId="5B3BE5DB" w14:textId="502B917D" w:rsidR="00011D33" w:rsidRPr="00E26F58" w:rsidRDefault="00327CD8">
      <w:pPr>
        <w:pStyle w:val="Heading1"/>
        <w:keepNext/>
        <w:rPr>
          <w:b/>
        </w:rPr>
      </w:pPr>
      <w:r>
        <w:rPr>
          <w:b/>
        </w:rPr>
        <w:t>Uvod</w:t>
      </w:r>
    </w:p>
    <w:p w14:paraId="5B3BE5DC" w14:textId="77777777" w:rsidR="00011D33" w:rsidRPr="00E26F58" w:rsidRDefault="00011D33">
      <w:pPr>
        <w:keepNext/>
      </w:pPr>
    </w:p>
    <w:p w14:paraId="4470741B" w14:textId="6E27E8AA" w:rsidR="008A0EA8" w:rsidRPr="00E26F58" w:rsidRDefault="008A0EA8">
      <w:pPr>
        <w:pStyle w:val="Heading2"/>
        <w:ind w:left="567" w:hanging="567"/>
      </w:pPr>
      <w:r>
        <w:t xml:space="preserve">EU se zalaže za </w:t>
      </w:r>
      <w:r>
        <w:rPr>
          <w:b/>
        </w:rPr>
        <w:t>dekarbonizirani energetski sustav</w:t>
      </w:r>
      <w:r>
        <w:t xml:space="preserve"> opisan u </w:t>
      </w:r>
      <w:r>
        <w:rPr>
          <w:b/>
        </w:rPr>
        <w:t>„paketu za čistu energiju”</w:t>
      </w:r>
      <w:r>
        <w:t>, kojim se nastoji ubrzati, preobraziti i učvrstiti prelazak gospodarstva EU-a na čistu energiju u skladu s njegovim obvezama preuzetima na konferenciji COP21, uz istodobno zadržavanje važnih ciljeva gospodarskog rasta i otvaranja radnih mjesta.</w:t>
      </w:r>
    </w:p>
    <w:p w14:paraId="29231809" w14:textId="77777777" w:rsidR="008A0EA8" w:rsidRPr="00E26F58" w:rsidRDefault="008A0EA8">
      <w:pPr>
        <w:pStyle w:val="Heading2"/>
        <w:numPr>
          <w:ilvl w:val="0"/>
          <w:numId w:val="0"/>
        </w:numPr>
        <w:ind w:left="720" w:hanging="720"/>
      </w:pPr>
    </w:p>
    <w:p w14:paraId="425DDE25" w14:textId="2CD7B4EA" w:rsidR="008A0EA8" w:rsidRPr="00E26F58" w:rsidRDefault="008A0EA8">
      <w:pPr>
        <w:pStyle w:val="Heading2"/>
        <w:ind w:left="567" w:hanging="567"/>
      </w:pPr>
      <w:r>
        <w:t xml:space="preserve">EU je u tom pogledu već učinio mnogo. Njegove </w:t>
      </w:r>
      <w:r>
        <w:rPr>
          <w:b/>
        </w:rPr>
        <w:t>emisije stakleničkih plinova</w:t>
      </w:r>
      <w:r>
        <w:t xml:space="preserve"> smanjene su za 23 % od 1990. do 2016., dok je u istom razdoblju gospodarstvo raslo za 53 %. Taj uspjeh postignut je u mnogim sektorima osim u </w:t>
      </w:r>
      <w:r>
        <w:rPr>
          <w:b/>
        </w:rPr>
        <w:t>prometu</w:t>
      </w:r>
      <w:r>
        <w:t xml:space="preserve">, sektoru koji je odgovoran za otprilike 24 % emisija stakleničkih plinova u Europi (podatak iz 2015.) i u kojemu je usporedno s daljnjim gospodarskim oporavkom u Europi čak zabilježen rast emisija. Taj će se problem riješiti </w:t>
      </w:r>
      <w:r>
        <w:rPr>
          <w:b/>
        </w:rPr>
        <w:t>Europskom strategijom za mobilnost s niskom razinom emisija</w:t>
      </w:r>
      <w:r>
        <w:rPr>
          <w:rStyle w:val="FootnoteReference"/>
        </w:rPr>
        <w:footnoteReference w:id="2"/>
      </w:r>
      <w:r>
        <w:t>.</w:t>
      </w:r>
    </w:p>
    <w:p w14:paraId="26201938" w14:textId="77777777" w:rsidR="008A0EA8" w:rsidRPr="00E26F58" w:rsidRDefault="008A0EA8">
      <w:pPr>
        <w:pStyle w:val="Heading2"/>
        <w:numPr>
          <w:ilvl w:val="0"/>
          <w:numId w:val="0"/>
        </w:numPr>
      </w:pPr>
    </w:p>
    <w:p w14:paraId="387442C6" w14:textId="01F2B3CC" w:rsidR="008A0EA8" w:rsidRPr="00E26F58" w:rsidRDefault="008A0EA8">
      <w:pPr>
        <w:pStyle w:val="Heading2"/>
        <w:ind w:left="567" w:hanging="567"/>
      </w:pPr>
      <w:r>
        <w:t xml:space="preserve">EESC napominje da je EU već postigao značajan napredak prema čistoj mobilnosti: prosječne vrijednosti </w:t>
      </w:r>
      <w:r>
        <w:rPr>
          <w:b/>
        </w:rPr>
        <w:t>emisija CO</w:t>
      </w:r>
      <w:r>
        <w:rPr>
          <w:b/>
          <w:vertAlign w:val="subscript"/>
        </w:rPr>
        <w:t>2</w:t>
      </w:r>
      <w:r>
        <w:t xml:space="preserve"> za nove automobile i laka gospodarska vozila postavljene su 2009. godine na 130 g CO</w:t>
      </w:r>
      <w:r>
        <w:rPr>
          <w:vertAlign w:val="subscript"/>
        </w:rPr>
        <w:t>2</w:t>
      </w:r>
      <w:r>
        <w:t>/km za 2015. i 95 g CO</w:t>
      </w:r>
      <w:r>
        <w:rPr>
          <w:vertAlign w:val="subscript"/>
        </w:rPr>
        <w:t>2</w:t>
      </w:r>
      <w:r>
        <w:t>/km za 2020. godinu, što je ključno za ostvarivanje klimatskih ciljeva EU-a. Otkako je 1992. uvedena europska norma zakonodavci su za 97 % snizili ograničenja za dušikove okside iz osobnih automobila sa stupnja Euro 1 na stupanj Euro 6 te za 98 % za čestice, što predstavlja značajan napredak u pogledu smanjenja lokalnog onečišćenja zraka.</w:t>
      </w:r>
    </w:p>
    <w:p w14:paraId="5F328011" w14:textId="6696DCCD" w:rsidR="008A0EA8" w:rsidRPr="00E26F58" w:rsidRDefault="008A0EA8"/>
    <w:p w14:paraId="2F67F9B9" w14:textId="18A88385" w:rsidR="008A0EA8" w:rsidRPr="00E26F58" w:rsidRDefault="00F135CD">
      <w:pPr>
        <w:pStyle w:val="Heading2"/>
        <w:ind w:left="567" w:hanging="567"/>
      </w:pPr>
      <w:r>
        <w:t>Unatoč tome, te mjere za cestovni prijevoz nisu dostatne za ispunjavanje obveza preuzetih na konferenciji COP21 i postizanje prijeko potrebnog čistog zraka u gradovima. I dok se prosječne emisije po vozilu i kilometru smanjuju, to nije slučaj za ukupne emisije iz cestovnog prijevoza, s obzirom na to da je ukupni promet porastao, a da je brzina zamjene voznog parka u Europi ograničena.</w:t>
      </w:r>
    </w:p>
    <w:p w14:paraId="42E3F71D" w14:textId="77777777" w:rsidR="008A0EA8" w:rsidRPr="00E26F58" w:rsidRDefault="008A0EA8"/>
    <w:p w14:paraId="3E8BE342" w14:textId="56E8428B" w:rsidR="008A0EA8" w:rsidRPr="00E26F58" w:rsidRDefault="003056C2" w:rsidP="007F0799">
      <w:pPr>
        <w:pStyle w:val="Heading2"/>
        <w:keepNext/>
        <w:keepLines/>
        <w:ind w:left="567" w:hanging="567"/>
      </w:pPr>
      <w:r>
        <w:t xml:space="preserve">Europska komisija reagirala je stoga inicijativom </w:t>
      </w:r>
      <w:r>
        <w:rPr>
          <w:b/>
        </w:rPr>
        <w:t>„Europa u pokretu”</w:t>
      </w:r>
      <w:r>
        <w:t xml:space="preserve"> koja uključuje niz pravnih inicijativa sadržanih u tri paketa. U </w:t>
      </w:r>
      <w:r>
        <w:rPr>
          <w:b/>
        </w:rPr>
        <w:t>prvom paketu</w:t>
      </w:r>
      <w:r>
        <w:t xml:space="preserve"> predstavljenom 2017. odražava se ambicija Europe u pogledu ostvarenja brzog napretka u uspostavljanju sustava čiste, </w:t>
      </w:r>
      <w:r>
        <w:lastRenderedPageBreak/>
        <w:t>konkurentne i povezane mobilnosti do 2025. kojim bi se obuhvatila sva prijevozna sredstva te pokrila cijela Unija. EGSO</w:t>
      </w:r>
      <w:r>
        <w:rPr>
          <w:rStyle w:val="FootnoteReference"/>
        </w:rPr>
        <w:footnoteReference w:id="3"/>
      </w:r>
      <w:r>
        <w:t> </w:t>
      </w:r>
      <w:r>
        <w:rPr>
          <w:rStyle w:val="FootnoteReference"/>
        </w:rPr>
        <w:footnoteReference w:id="4"/>
      </w:r>
      <w:r>
        <w:t xml:space="preserve"> je pozdravio taj paket kao ključan čimbenik dobrog funkcioniranja </w:t>
      </w:r>
      <w:r>
        <w:rPr>
          <w:b/>
        </w:rPr>
        <w:t>jedinstvenog europskog prometnog prostora</w:t>
      </w:r>
      <w:r>
        <w:t xml:space="preserve"> s odgovarajućim regulatornim okvirom.</w:t>
      </w:r>
    </w:p>
    <w:p w14:paraId="179A3F02" w14:textId="77777777" w:rsidR="008A0EA8" w:rsidRPr="00E26F58" w:rsidRDefault="008A0EA8"/>
    <w:p w14:paraId="7CCC4EF1" w14:textId="17F88DB2" w:rsidR="00F036DF" w:rsidRPr="00E26F58" w:rsidRDefault="008A0EA8">
      <w:pPr>
        <w:pStyle w:val="Heading2"/>
        <w:ind w:left="567" w:hanging="567"/>
      </w:pPr>
      <w:r>
        <w:t>Komunikacija</w:t>
      </w:r>
      <w:r>
        <w:rPr>
          <w:rStyle w:val="FootnoteReference"/>
        </w:rPr>
        <w:footnoteReference w:id="5"/>
      </w:r>
      <w:r>
        <w:t xml:space="preserve"> o </w:t>
      </w:r>
      <w:r>
        <w:rPr>
          <w:b/>
        </w:rPr>
        <w:t>drugom paketu</w:t>
      </w:r>
      <w:r>
        <w:t xml:space="preserve"> strategije „Europa u pokretu”, koja se razmatra u ovom mišljenju, usmjerena je u prvom redu na instrumente za smanjenje emisija iz cestovnog prijevoza kao što su Direktiva o čistim vozilima</w:t>
      </w:r>
      <w:r>
        <w:rPr>
          <w:rStyle w:val="FootnoteReference"/>
        </w:rPr>
        <w:footnoteReference w:id="6"/>
      </w:r>
      <w:r>
        <w:t>, nove norme za emisije CO</w:t>
      </w:r>
      <w:r>
        <w:rPr>
          <w:vertAlign w:val="subscript"/>
        </w:rPr>
        <w:t>2</w:t>
      </w:r>
      <w:r>
        <w:t xml:space="preserve"> za vozila</w:t>
      </w:r>
      <w:r>
        <w:rPr>
          <w:rStyle w:val="FootnoteReference"/>
        </w:rPr>
        <w:footnoteReference w:id="7"/>
      </w:r>
      <w:r>
        <w:t>, akcijski plan za transeuropsku uporabu infrastrukture alternativnih goriva</w:t>
      </w:r>
      <w:r>
        <w:rPr>
          <w:rStyle w:val="FootnoteReference"/>
        </w:rPr>
        <w:footnoteReference w:id="8"/>
      </w:r>
      <w:r>
        <w:t>, revizija Direktive o kombiniranom prijevozu</w:t>
      </w:r>
      <w:r>
        <w:rPr>
          <w:rStyle w:val="FootnoteReference"/>
        </w:rPr>
        <w:footnoteReference w:id="9"/>
      </w:r>
      <w:r>
        <w:t>, Uredba o uslugama putničkog autobusnog prijevoza</w:t>
      </w:r>
      <w:r>
        <w:rPr>
          <w:rStyle w:val="FootnoteReference"/>
        </w:rPr>
        <w:footnoteReference w:id="10"/>
      </w:r>
      <w:r>
        <w:t xml:space="preserve"> i inicijativa za baterije. Posebni prijedlozi detaljno su razmotreni u zasebnim mišljenjima Odbora. </w:t>
      </w:r>
      <w:r>
        <w:rPr>
          <w:b/>
        </w:rPr>
        <w:t>Treći paket,</w:t>
      </w:r>
      <w:r>
        <w:t xml:space="preserve"> koji će više biti usmjeren na pitanja sigurnosti, bit će donesen u prvoj polovici 2018.</w:t>
      </w:r>
    </w:p>
    <w:p w14:paraId="44FD5FAC" w14:textId="77777777" w:rsidR="00F036DF" w:rsidRPr="00E26F58" w:rsidRDefault="00F036DF"/>
    <w:p w14:paraId="2EDBF5E9" w14:textId="180079F2" w:rsidR="00F47759" w:rsidRPr="00E26F58" w:rsidRDefault="00F47759">
      <w:pPr>
        <w:pStyle w:val="Heading1"/>
        <w:keepNext/>
        <w:rPr>
          <w:b/>
        </w:rPr>
      </w:pPr>
      <w:r>
        <w:rPr>
          <w:b/>
        </w:rPr>
        <w:t>Sažetak Komunikacije</w:t>
      </w:r>
    </w:p>
    <w:p w14:paraId="382B739C" w14:textId="77777777" w:rsidR="00F47759" w:rsidRPr="00E26F58" w:rsidRDefault="00F47759">
      <w:pPr>
        <w:keepNext/>
      </w:pPr>
    </w:p>
    <w:p w14:paraId="08408499" w14:textId="3AA6035C" w:rsidR="00F47759" w:rsidRPr="00E26F58" w:rsidRDefault="00F47759">
      <w:pPr>
        <w:pStyle w:val="Heading2"/>
        <w:ind w:left="567" w:hanging="567"/>
      </w:pPr>
      <w:r>
        <w:t>Drugi paket sadrži nekoliko pravnih inicijativa za uspostavu jasnih, realističnih i provedivih pravila kako bi se osigurali jednaki uvjeti među industrijskim subjektima koji djeluju u Europi. Potrošači će se poticati na prelazak na čista vozila i druge opcije čiste mobilnosti poboljšanjem infrastrukture za alternativna goriva i pružanjem prekograničnih interoperabilnih usluga.</w:t>
      </w:r>
    </w:p>
    <w:p w14:paraId="2E2B9F2D" w14:textId="77777777" w:rsidR="00F47759" w:rsidRPr="00E26F58" w:rsidRDefault="00F47759"/>
    <w:p w14:paraId="5A8640A9" w14:textId="7B1F5549" w:rsidR="00F47759" w:rsidRPr="00E26F58" w:rsidRDefault="00F47759">
      <w:pPr>
        <w:pStyle w:val="Heading2"/>
        <w:ind w:left="567" w:hanging="567"/>
      </w:pPr>
      <w:r>
        <w:t>Predlaže se donošenje nove</w:t>
      </w:r>
      <w:r>
        <w:rPr>
          <w:b/>
        </w:rPr>
        <w:t xml:space="preserve"> uredbe o CO</w:t>
      </w:r>
      <w:r>
        <w:rPr>
          <w:b/>
          <w:vertAlign w:val="subscript"/>
        </w:rPr>
        <w:t>2</w:t>
      </w:r>
      <w:r>
        <w:t xml:space="preserve"> za osobne automobile i laka gospodarska vozila za razdoblje nakon 2020. U skladu s tim, proizvođači osobnih automobila i lakih gospodarskih vozila trebaju smanjiti emisije CO</w:t>
      </w:r>
      <w:r>
        <w:rPr>
          <w:vertAlign w:val="subscript"/>
        </w:rPr>
        <w:t>2</w:t>
      </w:r>
      <w:r>
        <w:t xml:space="preserve"> iz svog novog voznog parka u EU-a za 15 % do 2025., odnosno za 30 % do 2030. Ti relativni ciljevi smanjenja zamijenit će se apsolutnim vrijednostima emisija CO</w:t>
      </w:r>
      <w:r>
        <w:rPr>
          <w:vertAlign w:val="subscript"/>
        </w:rPr>
        <w:t>2</w:t>
      </w:r>
      <w:r>
        <w:t xml:space="preserve"> čim budu dostupni podaci novog globalno usklađenog postupka testiranja za laka vozila (WLTP) (ne očekuje se prije 2020.). </w:t>
      </w:r>
    </w:p>
    <w:p w14:paraId="6B6B7FE3" w14:textId="77777777" w:rsidR="00F47759" w:rsidRPr="00E26F58" w:rsidRDefault="00F47759"/>
    <w:p w14:paraId="16162845" w14:textId="4A34ECB0" w:rsidR="00F47759" w:rsidRPr="00E26F58" w:rsidRDefault="00F47759">
      <w:pPr>
        <w:pStyle w:val="Heading2"/>
        <w:ind w:left="567" w:hanging="567"/>
      </w:pPr>
      <w:r>
        <w:t xml:space="preserve">Uvođenje WLTP-a kao čvrstog i realističnijeg </w:t>
      </w:r>
      <w:r>
        <w:rPr>
          <w:b/>
        </w:rPr>
        <w:t>okvira za testiranje u svrhu homologacije</w:t>
      </w:r>
      <w:r>
        <w:t xml:space="preserve"> automobila bit će ključno za prevladavanje teške krize povjerenja potrošača i njegove obnove. Uvest će se i mjerenja stvarnih emisija tijekom vožnje (RDE) koja će se provoditi na cesti umjesto na ispitnom uređaju.</w:t>
      </w:r>
    </w:p>
    <w:p w14:paraId="6B139BD5" w14:textId="77777777" w:rsidR="00F47759" w:rsidRPr="00E26F58" w:rsidRDefault="00F47759"/>
    <w:p w14:paraId="6A4E2021" w14:textId="21E0C031" w:rsidR="00F47759" w:rsidRPr="00E26F58" w:rsidRDefault="00F47759">
      <w:pPr>
        <w:pStyle w:val="Heading2"/>
        <w:ind w:left="567" w:hanging="567"/>
      </w:pPr>
      <w:r>
        <w:lastRenderedPageBreak/>
        <w:t xml:space="preserve">Predlaže se akcijski plan kojim će se potaknuti ulaganje u </w:t>
      </w:r>
      <w:r>
        <w:rPr>
          <w:b/>
        </w:rPr>
        <w:t>infrastrukturu za alternativna goriva</w:t>
      </w:r>
      <w:r>
        <w:t xml:space="preserve"> i razviti mreža brzih i interoperabilnih postaja za punjenje i opskrbu gorivom diljem Unije. Uključeno je nekoliko instrumenata financiranja kao što su Instrument za čisti prijevoz, Instrument za povezivanje Europe, Europski fond za financiranje strateških ulaganja i Europski fond za regionalni razvoj.</w:t>
      </w:r>
    </w:p>
    <w:p w14:paraId="52338574" w14:textId="77777777" w:rsidR="00F47759" w:rsidRPr="00E26F58" w:rsidRDefault="00F47759"/>
    <w:p w14:paraId="1D938976" w14:textId="44D7C917" w:rsidR="00F47759" w:rsidRPr="00E26F58" w:rsidRDefault="00F47759">
      <w:pPr>
        <w:pStyle w:val="Heading2"/>
        <w:ind w:left="567" w:hanging="567"/>
      </w:pPr>
      <w:r>
        <w:rPr>
          <w:b/>
        </w:rPr>
        <w:t>Direktiva o kombiniranom prijevozu</w:t>
      </w:r>
      <w:r>
        <w:t xml:space="preserve"> revidirana je kako bi se promicala kombinirana upotreba različitih načina za prijevoz tereta (npr. kamioni i vlakovi).</w:t>
      </w:r>
    </w:p>
    <w:p w14:paraId="400D30EF" w14:textId="77777777" w:rsidR="00F47759" w:rsidRPr="00E26F58" w:rsidRDefault="00F47759"/>
    <w:p w14:paraId="551B1C16" w14:textId="274DB97F" w:rsidR="00F47759" w:rsidRPr="00E26F58" w:rsidRDefault="00F47759">
      <w:pPr>
        <w:pStyle w:val="Heading2"/>
        <w:ind w:left="567" w:hanging="567"/>
      </w:pPr>
      <w:r>
        <w:rPr>
          <w:b/>
        </w:rPr>
        <w:t xml:space="preserve">Direktivom o uslugama autobusnog prijevoza putnika </w:t>
      </w:r>
      <w:r>
        <w:t>trebao bi se potaknuti razvoj nacionalnih autobusnih veza i autobusnih veza na dugim relacijama diljem Europe, pružiti veći izbor prijevoza za sve građane te ponuditi alternative uporabi privatnih automobila.</w:t>
      </w:r>
    </w:p>
    <w:p w14:paraId="0C115AFA" w14:textId="77777777" w:rsidR="00F47759" w:rsidRPr="00E26F58" w:rsidRDefault="00F47759"/>
    <w:p w14:paraId="10DBDA47" w14:textId="6BD2164D" w:rsidR="00F47759" w:rsidRPr="00E26F58" w:rsidRDefault="00F47759">
      <w:pPr>
        <w:pStyle w:val="Heading2"/>
        <w:ind w:left="567" w:hanging="567"/>
      </w:pPr>
      <w:r>
        <w:rPr>
          <w:b/>
        </w:rPr>
        <w:t>Direktivom o čistim vozilima</w:t>
      </w:r>
      <w:r>
        <w:t xml:space="preserve"> trebale bi se promicati metode čiste mobilnosti u postupcima javne nabave, što će djelovati kao poticaj za automobilsku industriju.</w:t>
      </w:r>
    </w:p>
    <w:p w14:paraId="5D5184C6" w14:textId="77777777" w:rsidR="00F47759" w:rsidRPr="00E26F58" w:rsidRDefault="00F47759"/>
    <w:p w14:paraId="4775AB7C" w14:textId="29DAC246" w:rsidR="00F47759" w:rsidRPr="00E26F58" w:rsidRDefault="00F47759">
      <w:pPr>
        <w:pStyle w:val="Heading2"/>
        <w:ind w:left="567" w:hanging="567"/>
      </w:pPr>
      <w:r>
        <w:rPr>
          <w:b/>
        </w:rPr>
        <w:t>Inicijativom za baterije</w:t>
      </w:r>
      <w:r>
        <w:t xml:space="preserve"> pomaže se neovisnije udruživanje europske industrije s ciljem povećanja udjela u lancu vrijednosti proizvodnje električnih vozila. Europska komisija izdvojit će i 200 milijuna EUR izravno za istraživanje i inovacije baterija u okviru Obzora 2020. (program rada 2018. – 2020.), pored već izdvojenih 150 milijuna EUR.</w:t>
      </w:r>
    </w:p>
    <w:p w14:paraId="6AFCEBD1" w14:textId="77777777" w:rsidR="00F47759" w:rsidRPr="00E26F58" w:rsidRDefault="00F47759"/>
    <w:p w14:paraId="03EFA48B" w14:textId="6B07A8B5" w:rsidR="00F47759" w:rsidRPr="00E26F58" w:rsidRDefault="00F47759">
      <w:pPr>
        <w:pStyle w:val="Heading1"/>
        <w:keepNext/>
        <w:rPr>
          <w:b/>
        </w:rPr>
      </w:pPr>
      <w:r>
        <w:rPr>
          <w:b/>
        </w:rPr>
        <w:t>Opće napomene</w:t>
      </w:r>
    </w:p>
    <w:p w14:paraId="1FE02736" w14:textId="77777777" w:rsidR="00F47759" w:rsidRPr="00E26F58" w:rsidRDefault="00F47759">
      <w:pPr>
        <w:keepNext/>
      </w:pPr>
    </w:p>
    <w:p w14:paraId="77565F1C" w14:textId="04220522" w:rsidR="00F47759" w:rsidRPr="00E26F58" w:rsidRDefault="00F47759">
      <w:pPr>
        <w:pStyle w:val="Heading2"/>
        <w:ind w:left="567" w:hanging="567"/>
      </w:pPr>
      <w:r>
        <w:t xml:space="preserve">Usredotočenost ove Komunikacije na cestovni prijevoz zasniva se na industriji koja zauzima </w:t>
      </w:r>
      <w:r>
        <w:rPr>
          <w:b/>
        </w:rPr>
        <w:t>vodeće mjesto u svijetu</w:t>
      </w:r>
      <w:r>
        <w:t xml:space="preserve"> po proizvodnji i pružanju usluga. Proizvodni dio ovog sektora zapošljava 11 % svih radnika u proizvodnji diljem EU-a i ostvaruje 7 % BDP-a EU-a. Ta snažna pozicija mora se održati i upotrijebiti za ubrzanje, preobrazbu i učvršćivanje prelaska gospodarstva EU-a na čistu energiju uz važan cilj dostizanja </w:t>
      </w:r>
      <w:r>
        <w:rPr>
          <w:b/>
        </w:rPr>
        <w:t>vodeće uloge u novim tehnologijama</w:t>
      </w:r>
      <w:r>
        <w:t xml:space="preserve"> na svjetskom tržištu.</w:t>
      </w:r>
    </w:p>
    <w:p w14:paraId="478B9E26" w14:textId="77777777" w:rsidR="00F47759" w:rsidRPr="00E26F58" w:rsidRDefault="00F47759"/>
    <w:p w14:paraId="523EF4A4" w14:textId="5ED6DD0A" w:rsidR="00F47759" w:rsidRPr="00E26F58" w:rsidRDefault="00D328A7">
      <w:pPr>
        <w:pStyle w:val="Heading2"/>
        <w:ind w:left="567" w:hanging="567"/>
      </w:pPr>
      <w:r>
        <w:t xml:space="preserve">EGSO pozdravlja opći </w:t>
      </w:r>
      <w:r>
        <w:rPr>
          <w:b/>
        </w:rPr>
        <w:t>tehnološko neutralan pristup</w:t>
      </w:r>
      <w:r>
        <w:t xml:space="preserve">, otvoren novim kretanjima koja možemo očekivati s obzirom na snažne napore koji se uz potporu EU-a trenutačno poduzimaju u području istraživanja i razvoja. Međutim, napominje da se inicijative ne provode u potpunosti u skladu s tim pristupom. S obzirom na tehnološki napredak, ne možemo se pouzdati u to da će naša mobilnost u budućnosti biti u cijelosti električna. I druge pogonske tehnologije imaju veliki potencijal za čistu mobilnost. S obzirom na to da se u predstojećim godinama očekuju brze promjene u modernoj prometnoj tehnologiji, EGSO preporučuje </w:t>
      </w:r>
      <w:r>
        <w:rPr>
          <w:b/>
        </w:rPr>
        <w:t>pristup</w:t>
      </w:r>
      <w:r>
        <w:t xml:space="preserve"> koji će biti </w:t>
      </w:r>
      <w:r>
        <w:rPr>
          <w:b/>
        </w:rPr>
        <w:t xml:space="preserve">fleksibilniji </w:t>
      </w:r>
      <w:r>
        <w:t>od, primjerice, utvrđenih graničnih vrijednosti emisija ili ciljeva javne nabave. Na primjer, sredinom programskog razdoblja trebalo bi provesti barem preispitivanje graničnih vrijednosti emisija i minimalnih ciljeva kako bi se omogućila njihova prilagodba u kasnijoj fazi.</w:t>
      </w:r>
    </w:p>
    <w:p w14:paraId="543C1370" w14:textId="77777777" w:rsidR="00F47759" w:rsidRPr="00E26F58" w:rsidRDefault="00F47759"/>
    <w:p w14:paraId="1FC2A40E" w14:textId="0373360E" w:rsidR="00F47759" w:rsidRPr="00E26F58" w:rsidRDefault="00F47759" w:rsidP="007F0799">
      <w:pPr>
        <w:pStyle w:val="Heading2"/>
        <w:keepNext/>
        <w:keepLines/>
        <w:ind w:left="567" w:hanging="567"/>
      </w:pPr>
      <w:r>
        <w:t xml:space="preserve">EGSO pozdravlja inicijative čija je namjera obnova </w:t>
      </w:r>
      <w:r>
        <w:rPr>
          <w:b/>
        </w:rPr>
        <w:t>povjerenja potrošača</w:t>
      </w:r>
      <w:r>
        <w:t xml:space="preserve"> u automobilsku industriju i regulatorni sustav. Izgradnja povjerenja zahvaljujući realističnim normama za emisije i novim postupcima ispitivanja od ključne je važnosti. EGSO napominje da će realističnije vrijednosti emisija ovisiti ne samo o automobilskoj tehnologiji već u velikoj mjeri i </w:t>
      </w:r>
      <w:r>
        <w:lastRenderedPageBreak/>
        <w:t>o ponašanju vozača te vremenskim i cestovnim uvjetima. Potrošači će se shodno tome susretati s poprilično snažnim varijacijama podataka čak i za istu vrstu vozila.</w:t>
      </w:r>
    </w:p>
    <w:p w14:paraId="3E87D414" w14:textId="77777777" w:rsidR="00A10E8C" w:rsidRPr="00E26F58" w:rsidRDefault="00A10E8C"/>
    <w:p w14:paraId="2132A02B" w14:textId="56DCEBAC" w:rsidR="00F47759" w:rsidRPr="00E26F58" w:rsidRDefault="00F47759">
      <w:pPr>
        <w:pStyle w:val="Heading2"/>
        <w:ind w:left="567" w:hanging="567"/>
      </w:pPr>
      <w:r>
        <w:t xml:space="preserve">Svake godine plasira se oko četrnaest milijuna novih automobila, kojima se zamjenjuje tek 5 % ukupnog voznog parka od 253 milijuna automobila u EU-u. Čak i uz samo tu </w:t>
      </w:r>
      <w:r>
        <w:rPr>
          <w:b/>
        </w:rPr>
        <w:t>stopu zamjene</w:t>
      </w:r>
      <w:r>
        <w:t>, a na temelju postojećih normi za emisije, emisije CO</w:t>
      </w:r>
      <w:r>
        <w:rPr>
          <w:vertAlign w:val="subscript"/>
        </w:rPr>
        <w:t>2</w:t>
      </w:r>
      <w:r>
        <w:t xml:space="preserve"> smanjit će se za više od 30 % do 2030. u usporedbi s 2005. (izvješće udruženja VDA). EGSO bi pozdravio svaku inicijativu koja bi ubrzala stopu obnove i time također smanjila daljnje emisije. U državama sa slabije razvijenom tradicijom automobilske industrije potreba za novim proizvodnim rješenjima donosi prilike za inovativnost te mogućnost porasta konkurentnosti u razvoju mobilnosti s niskim razinama emisija.</w:t>
      </w:r>
    </w:p>
    <w:p w14:paraId="2E374B05" w14:textId="77777777" w:rsidR="00F47759" w:rsidRPr="00E26F58" w:rsidRDefault="00F47759"/>
    <w:p w14:paraId="1A45B78A" w14:textId="551FCCF9" w:rsidR="00F47759" w:rsidRPr="00E26F58" w:rsidRDefault="00F47759">
      <w:pPr>
        <w:pStyle w:val="Heading2"/>
        <w:ind w:left="567" w:hanging="567"/>
      </w:pPr>
      <w:r>
        <w:t xml:space="preserve">EGSO bi želio istaknuti da bi Komisija trebala, pored svoje usmjerenosti na nove tehnologije kao što su električni automobili, razmotriti i veliki potencijal za unapređenja u </w:t>
      </w:r>
      <w:r>
        <w:rPr>
          <w:b/>
        </w:rPr>
        <w:t>postojećem voznom parku</w:t>
      </w:r>
      <w:r>
        <w:t>. Na primjer, smanjenje emisija CO</w:t>
      </w:r>
      <w:r>
        <w:rPr>
          <w:vertAlign w:val="subscript"/>
        </w:rPr>
        <w:t>2</w:t>
      </w:r>
      <w:r>
        <w:t xml:space="preserve"> za 1 g koje se postiže dodavanjem nefosilnih goriva čitavom voznom parku podjednako je djelotvorno kao i poboljšanje u iznosu od 20 g kod novih vozila (izvješće udruženja VDA). </w:t>
      </w:r>
    </w:p>
    <w:p w14:paraId="59A4A649" w14:textId="77777777" w:rsidR="00554C6A" w:rsidRPr="00E26F58" w:rsidRDefault="00554C6A"/>
    <w:p w14:paraId="6103D10A" w14:textId="39B8A497" w:rsidR="00767F0C" w:rsidRPr="00E26F58" w:rsidRDefault="00F47759">
      <w:pPr>
        <w:pStyle w:val="Heading2"/>
        <w:ind w:left="567" w:hanging="567"/>
      </w:pPr>
      <w:r>
        <w:t xml:space="preserve">Potrebna je svijest o tome da postizanje značajnog udjela vozila s niskom razinom emisija zahtijeva </w:t>
      </w:r>
      <w:r>
        <w:rPr>
          <w:b/>
        </w:rPr>
        <w:t>prijelazno razdoblje</w:t>
      </w:r>
      <w:r>
        <w:t xml:space="preserve"> nepredvidljivog trajanja. Ono ovisi o razvoju ostvarenom u automobilskoj industriji, brzini kojom potrošači prihvaćaju novu tehnologiju i nastalim troškovima, kao i o drugim čimbenicima kao što su infrastruktura za punjenje, cijene goriva ili nabava javnog sektora. </w:t>
      </w:r>
    </w:p>
    <w:p w14:paraId="205AFE0E" w14:textId="77777777" w:rsidR="00870A3F" w:rsidRPr="00E26F58" w:rsidRDefault="00870A3F"/>
    <w:p w14:paraId="5E541060" w14:textId="65499204" w:rsidR="00B8333A" w:rsidRPr="00E26F58" w:rsidRDefault="00B8333A">
      <w:pPr>
        <w:pStyle w:val="Heading2"/>
        <w:numPr>
          <w:ilvl w:val="0"/>
          <w:numId w:val="0"/>
        </w:numPr>
        <w:ind w:left="567"/>
      </w:pPr>
      <w:r>
        <w:t>Međutim, prijelazno se razdoblje ne smije smatrati zelenim svjetlom za to da dizelska vozila i dalje premašuju granične vrijednosti i za to da se izbjegava njihovo naknadno opremanje SCR sustavima radi usklađivanja s normom Euro 6. Komisija bi trebala osigurati da države članice što prije započnu s naknadnim opremanjem u skladu s normom Euro 6, kao i da se razjasni tko će za to preuzeti odgovornost i snositi troškove.</w:t>
      </w:r>
    </w:p>
    <w:p w14:paraId="4E3E1BD9" w14:textId="77777777" w:rsidR="00C32BA9" w:rsidRPr="00E26F58" w:rsidRDefault="00C32BA9"/>
    <w:p w14:paraId="0F64DD1C" w14:textId="7611675D" w:rsidR="00F47759" w:rsidRPr="00E26F58" w:rsidRDefault="00C32BA9">
      <w:pPr>
        <w:pStyle w:val="Heading2"/>
        <w:ind w:left="567" w:hanging="567"/>
      </w:pPr>
      <w:r>
        <w:t xml:space="preserve">EGSO poziva automobilsku industriju da prijelazno razdoblje iskoristi za poboljšanje </w:t>
      </w:r>
      <w:r>
        <w:rPr>
          <w:b/>
        </w:rPr>
        <w:t xml:space="preserve">kohezije </w:t>
      </w:r>
      <w:r>
        <w:t xml:space="preserve">u EU-u tako što će donositi ispravne odluke o lokaciji industrijskih pogona i osigurati jednake mogućnosti za čista vozila u svim državama članicama. Bilo bi nedopustivo kad bi, na primjer, stariji dizelski automobili bili zabranjeni u nekim državama članicama, a zatim se prodavali u gospodarski slabijim državama članicama. Nadalje, važnu ulogu imaju kretanja izvan EU-a, s obzirom na to da europska automobilska industrija radi u velikoj mjeri za </w:t>
      </w:r>
      <w:r>
        <w:rPr>
          <w:b/>
        </w:rPr>
        <w:t>svjetsko tržište</w:t>
      </w:r>
      <w:r>
        <w:t>. Od iznimne je važnosti da politika EU-a podupire međunarodne sporazume koji su pošteni za europsku automobilsku industriju u usporedbi s njezinim konkurentima u SAD-u ili Aziji.</w:t>
      </w:r>
    </w:p>
    <w:p w14:paraId="2B833D56" w14:textId="77777777" w:rsidR="00F47759" w:rsidRPr="00E26F58" w:rsidRDefault="00F47759"/>
    <w:p w14:paraId="64D4CEA0" w14:textId="626D9C00" w:rsidR="00F47759" w:rsidRPr="00E26F58" w:rsidRDefault="00F47759" w:rsidP="007F0799">
      <w:pPr>
        <w:pStyle w:val="Heading2"/>
        <w:keepNext/>
        <w:keepLines/>
        <w:ind w:left="567" w:hanging="567"/>
      </w:pPr>
      <w:r>
        <w:t xml:space="preserve">Hoće ili u </w:t>
      </w:r>
      <w:bookmarkStart w:id="0" w:name="_GoBack"/>
      <w:r>
        <w:t xml:space="preserve">budućnosti doći do tehnološkog preokreta, primjerice u pogledu učinkovitosti baterija, ovisi o </w:t>
      </w:r>
      <w:r>
        <w:rPr>
          <w:b/>
        </w:rPr>
        <w:t>istraživanju i razvoju</w:t>
      </w:r>
      <w:r>
        <w:t xml:space="preserve">. Takav bi se preokret mogao dogoditi ne samo kod električnih vozila na baterijski pogon nego i kod goriva koja se upotrebljavaju u motorima s unutarnjim izgaranjem ili gorivih ćelija. Premda su klimatski prihvatljiva potpuno nefosilna goriva, na primjer HVO100, već u širokoj uporabi u nekim zemljama (kao što je Švedska), dostupne bi mogle postati i </w:t>
      </w:r>
      <w:r>
        <w:rPr>
          <w:b/>
        </w:rPr>
        <w:t>nove vrste goriva</w:t>
      </w:r>
      <w:r>
        <w:t xml:space="preserve">, kao što su sintetička goriva ili vodik, koje bi se </w:t>
      </w:r>
      <w:r>
        <w:lastRenderedPageBreak/>
        <w:t xml:space="preserve">uz prihvatljivi trošak mogle proizvesti upotrebljavajući višak električne </w:t>
      </w:r>
      <w:bookmarkEnd w:id="0"/>
      <w:r>
        <w:t>energije koji je zbog sadašnjeg širenja energije iz promjenjivih obnovljivih izvora dostupan u sve većim količinama.</w:t>
      </w:r>
    </w:p>
    <w:p w14:paraId="5307CDC7" w14:textId="77777777" w:rsidR="00F47759" w:rsidRPr="00ED6831" w:rsidRDefault="00F47759">
      <w:pPr>
        <w:rPr>
          <w:sz w:val="28"/>
        </w:rPr>
      </w:pPr>
    </w:p>
    <w:p w14:paraId="6D6E3C95" w14:textId="1C5BA63A" w:rsidR="00F47759" w:rsidRPr="00E26F58" w:rsidRDefault="00F47759" w:rsidP="00ED6831">
      <w:pPr>
        <w:pStyle w:val="Heading2"/>
        <w:spacing w:line="266" w:lineRule="auto"/>
        <w:ind w:left="567" w:hanging="567"/>
      </w:pPr>
      <w:r>
        <w:t>EGSO traži od Europske komisije da napravi bolju i jasnu razliku između pojedinih ciljeva koji se žele postići uvođenjem čistih vozila. Postoje dva cilja: zaštita klime i poboljšanje lokalne kvalitete zraka. Važno je napomenuti da određene vrste goriva mogu pridonijeti poboljšanju kvalitete zraka u gradovima, ali nisu dobre za klimu ako električna energija ili vodik iz električnih vozila dolaze iz elektrana na ugljen. S druge strane, vozila na prirodni plin iz biometana koja imaju niske emisije možda su klimatski prihvatljiva, ali svejedno mogu pridonijeti lokalnom onečišćenju zraka. Smanjenje lokalnog onečišćenja zraka u gradovima pitanje je od velike hitnosti i iziskuje mjere na regionalnoj i lokalnoj razini, dok je zaštita klime globalno pitanje, a promjene se mogu postići (i promatrati) samo tijekom više desetljeća. Važno je napraviti jasnu razliku između ta dva cilja kako bi se ljude pridobilo za privatna i javna ulaganja.</w:t>
      </w:r>
    </w:p>
    <w:p w14:paraId="3917128C" w14:textId="77777777" w:rsidR="00F47759" w:rsidRPr="00ED6831" w:rsidRDefault="00F47759" w:rsidP="00ED6831">
      <w:pPr>
        <w:spacing w:line="266" w:lineRule="auto"/>
        <w:rPr>
          <w:sz w:val="28"/>
        </w:rPr>
      </w:pPr>
    </w:p>
    <w:p w14:paraId="452F466C" w14:textId="1B5D6597" w:rsidR="00F47759" w:rsidRPr="00E26F58" w:rsidRDefault="00F47759" w:rsidP="00ED6831">
      <w:pPr>
        <w:pStyle w:val="Heading2"/>
        <w:spacing w:line="266" w:lineRule="auto"/>
        <w:ind w:left="567" w:hanging="567"/>
      </w:pPr>
      <w:r>
        <w:t xml:space="preserve">EGSO poziva Komisiju da što više pojednostavi pristup potrošača cjenovno pristupačnim novim i čišćim oblicima mobilnosti te da osigura da prednosti tih novih usluga mobilnosti budu dostupne svima i da budu ravnomjerno raspoređene diljem Unije. Mogući problemi, posebno dodatni </w:t>
      </w:r>
      <w:r>
        <w:rPr>
          <w:b/>
        </w:rPr>
        <w:t>troškovi za potrošače</w:t>
      </w:r>
      <w:r>
        <w:t>, predstavljaju razlog za zabrinutost. Neki od predloženih instrumenata financiranja mogu pomoći u rješavanju tog problema, no Odbor smatra da nisu dostatni. U vezi s time, EGSO pozdravlja inicijativu Komisije da se potrošačima pruži veća mogućnost izbora pri kupnji ili upotrebi vozila, što će se postići osiguravanjem veće transparentnosti i pružanjem metodologije za usporedbu troškova.</w:t>
      </w:r>
    </w:p>
    <w:p w14:paraId="41AD749A" w14:textId="77777777" w:rsidR="00F47759" w:rsidRPr="00ED6831" w:rsidRDefault="00F47759" w:rsidP="00ED6831">
      <w:pPr>
        <w:spacing w:line="266" w:lineRule="auto"/>
        <w:rPr>
          <w:sz w:val="28"/>
        </w:rPr>
      </w:pPr>
    </w:p>
    <w:p w14:paraId="365F09D8" w14:textId="1D5F079C" w:rsidR="00F47759" w:rsidRPr="00E26F58" w:rsidRDefault="00F47759" w:rsidP="00ED6831">
      <w:pPr>
        <w:pStyle w:val="Heading2"/>
        <w:spacing w:line="266" w:lineRule="auto"/>
        <w:ind w:left="567" w:hanging="567"/>
      </w:pPr>
      <w:r>
        <w:t xml:space="preserve">EGSO pozdravlja važnu ulogu koju Komisija ima u oblikovanju paneuropskog udruženja industrija s ciljem uspostave cjelovitog lanca vrijednosti za razvoj i proizvodnju naprednih </w:t>
      </w:r>
      <w:r>
        <w:rPr>
          <w:b/>
        </w:rPr>
        <w:t>baterija</w:t>
      </w:r>
      <w:r>
        <w:t xml:space="preserve"> u EU-u. Nekoliko je razloga za taj cilj: veća neovisnost u odnosu na proizvođače baterija izvan EU-a od strateške je važnosti; veći udio proizvodnje duž lanca vrijednosti unutar EU-a ključan je za naša radna mjesta; a jamstvo da su proizvedene baterije „čiste” najbolje se može osigurati ekološkim normama i pravilima EU-a, na primjer pristupom kružne ekonomije. Za postizanje tog cilja od presudne su važnosti opsežna ulaganja od strane industrije, dok je uloga Komisije odrediti odgovarajuća ograničenja, kao što su tehničke norme.</w:t>
      </w:r>
    </w:p>
    <w:p w14:paraId="77096B66" w14:textId="77777777" w:rsidR="00F47759" w:rsidRPr="00ED6831" w:rsidRDefault="00F47759" w:rsidP="00ED6831">
      <w:pPr>
        <w:spacing w:line="266" w:lineRule="auto"/>
        <w:rPr>
          <w:sz w:val="28"/>
        </w:rPr>
      </w:pPr>
    </w:p>
    <w:p w14:paraId="3F6A1048" w14:textId="030B8D94" w:rsidR="00F47759" w:rsidRPr="00E26F58" w:rsidRDefault="00F47759" w:rsidP="00ED6831">
      <w:pPr>
        <w:pStyle w:val="Heading2"/>
        <w:spacing w:line="266" w:lineRule="auto"/>
        <w:ind w:left="567" w:hanging="567"/>
      </w:pPr>
      <w:r>
        <w:t xml:space="preserve">EGSO za potrebe definiranja „čistih vozila” podupire pristup zasnovan na emisijama iz ispušne cijevi zbog njegove jednostavnosti. Međutim, isto tako želi naglasiti da se tim pristupom ne odražava </w:t>
      </w:r>
      <w:r>
        <w:rPr>
          <w:b/>
        </w:rPr>
        <w:t>ugljični otisak</w:t>
      </w:r>
      <w:r>
        <w:t xml:space="preserve"> vozila tijekom njegova ukupnog životnog ciklusa. Radi sprečavanja neopravdanog tretmana određenih vrsta vozila, potrebno je uložiti veće napore u pogledu zakonodavstva kako bi se izašlo iz okvira pristupa zasnovanog na emisijama iz ispušne cijevi te u obzir uzeli i problemi u proizvodnji ili opskrba čistom energijom.</w:t>
      </w:r>
    </w:p>
    <w:p w14:paraId="754CF50A" w14:textId="77777777" w:rsidR="00F47759" w:rsidRPr="00ED6831" w:rsidRDefault="00F47759" w:rsidP="00ED6831">
      <w:pPr>
        <w:spacing w:line="266" w:lineRule="auto"/>
        <w:rPr>
          <w:sz w:val="28"/>
        </w:rPr>
      </w:pPr>
    </w:p>
    <w:p w14:paraId="62134F4A" w14:textId="16A39A53" w:rsidR="000F2703" w:rsidRPr="00E26F58" w:rsidRDefault="000F2703" w:rsidP="00ED6831">
      <w:pPr>
        <w:pStyle w:val="Heading2"/>
        <w:keepNext/>
        <w:keepLines/>
        <w:spacing w:line="266" w:lineRule="auto"/>
        <w:ind w:left="567" w:hanging="567"/>
      </w:pPr>
      <w:r>
        <w:t xml:space="preserve">EGSO zaključuje da je glavna prepreka modernizaciji </w:t>
      </w:r>
      <w:r>
        <w:rPr>
          <w:b/>
        </w:rPr>
        <w:t>javnog prijevoza</w:t>
      </w:r>
      <w:r>
        <w:t xml:space="preserve"> manjak financijske potpore, te poziva Komisiju da razmotri mogućnost revizije direktive o javnoj nabavi s naglaskom na financiranju. EGSO napominje da je, uz potrebu za povećanjem udjela čistih vozila u javnom prijevozu, od presudne važnosti pridobiti što više građana za korištenje te vrste prijevoza, i to tako da se znatno poveća njegova privlačnost (povezanost, udobnost), umjesto usredotočenosti na niske cijene karata.</w:t>
      </w:r>
    </w:p>
    <w:p w14:paraId="2E3334BD" w14:textId="77777777" w:rsidR="00674C7D" w:rsidRPr="00E26F58" w:rsidRDefault="00674C7D" w:rsidP="00B60819">
      <w:pPr>
        <w:keepNext/>
      </w:pPr>
    </w:p>
    <w:p w14:paraId="64D4F36E" w14:textId="40073D01" w:rsidR="00674C7D" w:rsidRPr="00E26F58" w:rsidRDefault="00674C7D" w:rsidP="00B60819">
      <w:pPr>
        <w:keepNext/>
        <w:keepLines/>
        <w:jc w:val="left"/>
      </w:pPr>
      <w:r>
        <w:t>Bruxelles, 19. travnja 2018.</w:t>
      </w:r>
    </w:p>
    <w:p w14:paraId="588BBB85" w14:textId="77777777" w:rsidR="00674C7D" w:rsidRPr="00E26F58" w:rsidRDefault="00674C7D" w:rsidP="00B60819">
      <w:pPr>
        <w:keepNext/>
        <w:keepLines/>
        <w:jc w:val="left"/>
      </w:pPr>
    </w:p>
    <w:p w14:paraId="08EE9A02" w14:textId="77777777" w:rsidR="00674C7D" w:rsidRDefault="00674C7D" w:rsidP="00B60819">
      <w:pPr>
        <w:keepNext/>
        <w:keepLines/>
        <w:jc w:val="left"/>
      </w:pPr>
    </w:p>
    <w:p w14:paraId="6978D5D1" w14:textId="77777777" w:rsidR="0041418E" w:rsidRPr="00E26F58" w:rsidRDefault="0041418E" w:rsidP="00B60819">
      <w:pPr>
        <w:keepNext/>
        <w:keepLines/>
        <w:jc w:val="left"/>
      </w:pPr>
    </w:p>
    <w:p w14:paraId="4496E6BD" w14:textId="77777777" w:rsidR="00674C7D" w:rsidRPr="00E26F58" w:rsidRDefault="00674C7D" w:rsidP="00B60819">
      <w:pPr>
        <w:keepNext/>
        <w:keepLines/>
        <w:jc w:val="left"/>
      </w:pPr>
    </w:p>
    <w:p w14:paraId="71DFD26E" w14:textId="6C20BAB9" w:rsidR="00674C7D" w:rsidRPr="00E26F58" w:rsidRDefault="00F10BA2" w:rsidP="00B60819">
      <w:pPr>
        <w:keepNext/>
        <w:keepLines/>
        <w:jc w:val="left"/>
      </w:pPr>
      <w:r>
        <w:t>Luca Jahier</w:t>
      </w:r>
      <w:r>
        <w:br/>
        <w:t>Predsjednik Europskog gospodarskog i socijalnog odbora</w:t>
      </w:r>
    </w:p>
    <w:p w14:paraId="273E8196" w14:textId="77777777" w:rsidR="00674C7D" w:rsidRPr="00E26F58" w:rsidRDefault="00674C7D" w:rsidP="00FD408F">
      <w:pPr>
        <w:jc w:val="left"/>
      </w:pPr>
    </w:p>
    <w:p w14:paraId="5B3BE5E5" w14:textId="3E343BE1" w:rsidR="00646AC2" w:rsidRPr="00E26F58" w:rsidRDefault="00646AC2">
      <w:pPr>
        <w:pStyle w:val="Heading2"/>
        <w:numPr>
          <w:ilvl w:val="0"/>
          <w:numId w:val="0"/>
        </w:numPr>
        <w:ind w:left="567"/>
        <w:jc w:val="center"/>
      </w:pPr>
      <w:r>
        <w:t>_____________</w:t>
      </w:r>
    </w:p>
    <w:sectPr w:rsidR="00646AC2" w:rsidRPr="00E26F58" w:rsidSect="00B04C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6137" w14:textId="77777777" w:rsidR="00572CCE" w:rsidRDefault="00572CCE">
      <w:r>
        <w:separator/>
      </w:r>
    </w:p>
  </w:endnote>
  <w:endnote w:type="continuationSeparator" w:id="0">
    <w:p w14:paraId="540BEC27" w14:textId="77777777" w:rsidR="00572CCE" w:rsidRDefault="00572CCE">
      <w:r>
        <w:continuationSeparator/>
      </w:r>
    </w:p>
  </w:endnote>
  <w:endnote w:type="continuationNotice" w:id="1">
    <w:p w14:paraId="0590FE78" w14:textId="77777777" w:rsidR="00572CCE" w:rsidRDefault="00572C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BE5EE" w14:textId="6BC99A99" w:rsidR="00D15D19" w:rsidRPr="00B04C7B" w:rsidRDefault="00B04C7B" w:rsidP="00B04C7B">
    <w:pPr>
      <w:pStyle w:val="Footer"/>
    </w:pPr>
    <w:r>
      <w:t xml:space="preserve">TEN/655 – EESC-2017-05986-00-00-AC-TRA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F079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7F0799">
        <w:rPr>
          <w:noProof/>
        </w:rPr>
        <w:instrText>9</w:instrText>
      </w:r>
    </w:fldSimple>
    <w:r>
      <w:instrText xml:space="preserve"> </w:instrText>
    </w:r>
    <w:r>
      <w:fldChar w:fldCharType="separate"/>
    </w:r>
    <w:r w:rsidR="007F0799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4E67" w14:textId="77777777" w:rsidR="00A4698D" w:rsidRPr="00B04C7B" w:rsidRDefault="00A4698D" w:rsidP="00B04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7AEC" w14:textId="31B4CC15" w:rsidR="00A4698D" w:rsidRPr="00B04C7B" w:rsidRDefault="00B04C7B" w:rsidP="00B04C7B">
    <w:pPr>
      <w:pStyle w:val="Footer"/>
    </w:pPr>
    <w:r>
      <w:t xml:space="preserve">TEN/655 – EESC-2017-05986-00-00-AC-TRA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F0799">
      <w:rPr>
        <w:noProof/>
      </w:rPr>
      <w:t>9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7F0799">
        <w:rPr>
          <w:noProof/>
        </w:rPr>
        <w:instrText>9</w:instrText>
      </w:r>
    </w:fldSimple>
    <w:r>
      <w:instrText xml:space="preserve"> </w:instrText>
    </w:r>
    <w:r>
      <w:fldChar w:fldCharType="separate"/>
    </w:r>
    <w:r w:rsidR="007F0799">
      <w:rPr>
        <w:noProof/>
      </w:rPr>
      <w:t>9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0921" w14:textId="77777777" w:rsidR="00A4698D" w:rsidRPr="00B04C7B" w:rsidRDefault="00A4698D" w:rsidP="00B0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32FE" w14:textId="77777777" w:rsidR="00572CCE" w:rsidRDefault="00572CCE">
      <w:r>
        <w:separator/>
      </w:r>
    </w:p>
  </w:footnote>
  <w:footnote w:type="continuationSeparator" w:id="0">
    <w:p w14:paraId="20657142" w14:textId="77777777" w:rsidR="00572CCE" w:rsidRDefault="00572CCE">
      <w:r>
        <w:continuationSeparator/>
      </w:r>
    </w:p>
  </w:footnote>
  <w:footnote w:type="continuationNotice" w:id="1">
    <w:p w14:paraId="19552999" w14:textId="77777777" w:rsidR="00572CCE" w:rsidRDefault="00572CCE">
      <w:pPr>
        <w:spacing w:line="240" w:lineRule="auto"/>
      </w:pPr>
    </w:p>
  </w:footnote>
  <w:footnote w:id="2">
    <w:p w14:paraId="67AAF88E" w14:textId="28BCC362" w:rsidR="008A0EA8" w:rsidRPr="00FD408F" w:rsidRDefault="008A0E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>
        <w:r>
          <w:rPr>
            <w:rStyle w:val="Hyperlink"/>
          </w:rPr>
          <w:t>COM(2016) 501 final</w:t>
        </w:r>
      </w:hyperlink>
      <w:r>
        <w:t>.</w:t>
      </w:r>
    </w:p>
  </w:footnote>
  <w:footnote w:id="3">
    <w:p w14:paraId="2875E48A" w14:textId="734CA99F" w:rsidR="008A0EA8" w:rsidRPr="00FD408F" w:rsidRDefault="008A0E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>
        <w:r>
          <w:rPr>
            <w:rStyle w:val="Hyperlink"/>
          </w:rPr>
          <w:t>SL C 246, 28.7.2017., str</w:t>
        </w:r>
        <w:r>
          <w:rPr>
            <w:rStyle w:val="Hyperlink"/>
          </w:rPr>
          <w:t>.</w:t>
        </w:r>
        <w:r>
          <w:rPr>
            <w:rStyle w:val="Hyperlink"/>
          </w:rPr>
          <w:t xml:space="preserve"> 64.</w:t>
        </w:r>
      </w:hyperlink>
    </w:p>
  </w:footnote>
  <w:footnote w:id="4">
    <w:p w14:paraId="6008978C" w14:textId="6040FAAE" w:rsidR="008A0EA8" w:rsidRPr="00FD408F" w:rsidRDefault="008A0E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3">
        <w:r>
          <w:rPr>
            <w:rStyle w:val="Hyperlink"/>
          </w:rPr>
          <w:t>SL C 81, 2.3.2018., st</w:t>
        </w:r>
        <w:r>
          <w:rPr>
            <w:rStyle w:val="Hyperlink"/>
          </w:rPr>
          <w:t>r</w:t>
        </w:r>
        <w:r>
          <w:rPr>
            <w:rStyle w:val="Hyperlink"/>
          </w:rPr>
          <w:t>. 195–200.</w:t>
        </w:r>
      </w:hyperlink>
    </w:p>
  </w:footnote>
  <w:footnote w:id="5">
    <w:p w14:paraId="0945094D" w14:textId="6D1AD925" w:rsidR="005C1149" w:rsidRPr="00FD408F" w:rsidRDefault="005C11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4">
        <w:r>
          <w:rPr>
            <w:rStyle w:val="Hyperlink"/>
          </w:rPr>
          <w:t>COM(2017</w:t>
        </w:r>
        <w:r>
          <w:rPr>
            <w:rStyle w:val="Hyperlink"/>
          </w:rPr>
          <w:t>)</w:t>
        </w:r>
        <w:r>
          <w:rPr>
            <w:rStyle w:val="Hyperlink"/>
          </w:rPr>
          <w:t xml:space="preserve"> 675 final.</w:t>
        </w:r>
      </w:hyperlink>
      <w:r>
        <w:t xml:space="preserve"> </w:t>
      </w:r>
    </w:p>
  </w:footnote>
  <w:footnote w:id="6">
    <w:p w14:paraId="7AD3186D" w14:textId="154E1B97" w:rsidR="005C1149" w:rsidRPr="00FD408F" w:rsidRDefault="005C11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TEN/652, Čista i energetski učinkovita vozila, izvjestitelj: g. Samm (još nije objavljeno u Službenom listu).</w:t>
      </w:r>
    </w:p>
  </w:footnote>
  <w:footnote w:id="7">
    <w:p w14:paraId="5AECAD2A" w14:textId="2CD0E96B" w:rsidR="005C1149" w:rsidRPr="00FD408F" w:rsidRDefault="005C11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INT/835, Revizija uredbi o emisijama CO</w:t>
      </w:r>
      <w:r>
        <w:rPr>
          <w:vertAlign w:val="subscript"/>
        </w:rPr>
        <w:t>2</w:t>
      </w:r>
      <w:r>
        <w:t xml:space="preserve"> za osobne automobile i laka gospodarska vozila, izvjestitelj: g. Bergrath (još nije objavljeno u Službenom listu).</w:t>
      </w:r>
    </w:p>
  </w:footnote>
  <w:footnote w:id="8">
    <w:p w14:paraId="27A4F02E" w14:textId="7CF9D3EE" w:rsidR="005C1149" w:rsidRPr="00FD408F" w:rsidRDefault="005C11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TEN/654, Akcijski plan o infrastrukturi za alternativna goriva (komunikacija), izvjestitelj: g. Boland (još nije objavljeno u Službenom listu).</w:t>
      </w:r>
    </w:p>
  </w:footnote>
  <w:footnote w:id="9">
    <w:p w14:paraId="26388827" w14:textId="0E9BA1EE" w:rsidR="005C1149" w:rsidRPr="00FD408F" w:rsidRDefault="005C11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TEN/651, Kombinirani prijevoz robe, izvjestitelj: g. Back (još nije objavljeno u Službenom listu).</w:t>
      </w:r>
    </w:p>
  </w:footnote>
  <w:footnote w:id="10">
    <w:p w14:paraId="1D7B83AA" w14:textId="25D2E40B" w:rsidR="005C1149" w:rsidRPr="00FD408F" w:rsidRDefault="005C11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TEN/650, Pristup međunarodnom tržištu za usluge prijevoza običnim i turističkim autobusima, izvjestitelj: g. Hencks (još nije objavljeno u Službenom listu).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404F" w14:textId="77777777" w:rsidR="00A4698D" w:rsidRPr="00B04C7B" w:rsidRDefault="00A4698D" w:rsidP="00B0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9A16" w14:textId="01E01F80" w:rsidR="00A4698D" w:rsidRPr="00B04C7B" w:rsidRDefault="00A4698D" w:rsidP="00B0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959F" w14:textId="77777777" w:rsidR="00A4698D" w:rsidRPr="00B04C7B" w:rsidRDefault="00A4698D" w:rsidP="00B0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EE4483E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F91E54"/>
    <w:multiLevelType w:val="hybridMultilevel"/>
    <w:tmpl w:val="8496F580"/>
    <w:lvl w:ilvl="0" w:tplc="AF444C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8242A6"/>
    <w:multiLevelType w:val="multilevel"/>
    <w:tmpl w:val="B2D4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0851191"/>
    <w:multiLevelType w:val="multilevel"/>
    <w:tmpl w:val="AB70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A0D3E02"/>
    <w:multiLevelType w:val="hybridMultilevel"/>
    <w:tmpl w:val="2AF07E5C"/>
    <w:lvl w:ilvl="0" w:tplc="AF444C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5">
    <w:abstractNumId w:val="2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3"/>
  </w:num>
  <w:num w:numId="72">
    <w:abstractNumId w:val="4"/>
  </w:num>
  <w:num w:numId="73">
    <w:abstractNumId w:val="1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0"/>
  </w:num>
  <w:num w:numId="109">
    <w:abstractNumId w:val="0"/>
  </w:num>
  <w:num w:numId="110">
    <w:abstractNumId w:val="0"/>
  </w:num>
  <w:num w:numId="111">
    <w:abstractNumId w:val="0"/>
  </w:num>
  <w:num w:numId="112">
    <w:abstractNumId w:val="0"/>
  </w:num>
  <w:num w:numId="113">
    <w:abstractNumId w:val="0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0"/>
  </w:num>
  <w:num w:numId="120">
    <w:abstractNumId w:val="0"/>
  </w:num>
  <w:num w:numId="121">
    <w:abstractNumId w:val="0"/>
  </w:num>
  <w:num w:numId="122">
    <w:abstractNumId w:val="0"/>
  </w:num>
  <w:num w:numId="123">
    <w:abstractNumId w:val="0"/>
  </w:num>
  <w:num w:numId="124">
    <w:abstractNumId w:val="0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 w:numId="131">
    <w:abstractNumId w:val="0"/>
  </w:num>
  <w:num w:numId="132">
    <w:abstractNumId w:val="0"/>
  </w:num>
  <w:num w:numId="133">
    <w:abstractNumId w:val="0"/>
  </w:num>
  <w:num w:numId="134">
    <w:abstractNumId w:val="0"/>
  </w:num>
  <w:num w:numId="135">
    <w:abstractNumId w:val="0"/>
  </w:num>
  <w:num w:numId="136">
    <w:abstractNumId w:val="0"/>
  </w:num>
  <w:num w:numId="137">
    <w:abstractNumId w:val="0"/>
  </w:num>
  <w:num w:numId="138">
    <w:abstractNumId w:val="0"/>
  </w:num>
  <w:num w:numId="139">
    <w:abstractNumId w:val="0"/>
  </w:num>
  <w:num w:numId="140">
    <w:abstractNumId w:val="0"/>
  </w:num>
  <w:num w:numId="141">
    <w:abstractNumId w:val="0"/>
  </w:num>
  <w:num w:numId="142">
    <w:abstractNumId w:val="0"/>
  </w:num>
  <w:num w:numId="143">
    <w:abstractNumId w:val="0"/>
  </w:num>
  <w:num w:numId="144">
    <w:abstractNumId w:val="0"/>
  </w:num>
  <w:num w:numId="145">
    <w:abstractNumId w:val="0"/>
  </w:num>
  <w:num w:numId="146">
    <w:abstractNumId w:val="0"/>
  </w:num>
  <w:num w:numId="147">
    <w:abstractNumId w:val="0"/>
  </w:num>
  <w:num w:numId="148">
    <w:abstractNumId w:val="0"/>
  </w:num>
  <w:num w:numId="149">
    <w:abstractNumId w:val="0"/>
  </w:num>
  <w:num w:numId="150">
    <w:abstractNumId w:val="0"/>
  </w:num>
  <w:num w:numId="151">
    <w:abstractNumId w:val="0"/>
  </w:num>
  <w:num w:numId="152">
    <w:abstractNumId w:val="0"/>
  </w:num>
  <w:num w:numId="153">
    <w:abstractNumId w:val="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F"/>
    <w:rsid w:val="00005AB9"/>
    <w:rsid w:val="00005EB9"/>
    <w:rsid w:val="00006E24"/>
    <w:rsid w:val="00007A40"/>
    <w:rsid w:val="00011D33"/>
    <w:rsid w:val="000168CA"/>
    <w:rsid w:val="00020E6E"/>
    <w:rsid w:val="00021122"/>
    <w:rsid w:val="00031A4B"/>
    <w:rsid w:val="00033913"/>
    <w:rsid w:val="00033E5B"/>
    <w:rsid w:val="000357A8"/>
    <w:rsid w:val="000430A6"/>
    <w:rsid w:val="00044923"/>
    <w:rsid w:val="00046A7C"/>
    <w:rsid w:val="000470A5"/>
    <w:rsid w:val="0005019F"/>
    <w:rsid w:val="0005249C"/>
    <w:rsid w:val="000534A5"/>
    <w:rsid w:val="0005680D"/>
    <w:rsid w:val="0006055A"/>
    <w:rsid w:val="00062408"/>
    <w:rsid w:val="00063FB4"/>
    <w:rsid w:val="0006793E"/>
    <w:rsid w:val="000712ED"/>
    <w:rsid w:val="0007192D"/>
    <w:rsid w:val="00072E0F"/>
    <w:rsid w:val="00073112"/>
    <w:rsid w:val="000735E5"/>
    <w:rsid w:val="0007392F"/>
    <w:rsid w:val="000747C2"/>
    <w:rsid w:val="0007750B"/>
    <w:rsid w:val="0008534C"/>
    <w:rsid w:val="000858FA"/>
    <w:rsid w:val="00086B50"/>
    <w:rsid w:val="000875F7"/>
    <w:rsid w:val="00087B39"/>
    <w:rsid w:val="000918B7"/>
    <w:rsid w:val="00095B4A"/>
    <w:rsid w:val="00096502"/>
    <w:rsid w:val="000A41D3"/>
    <w:rsid w:val="000A49BB"/>
    <w:rsid w:val="000A4A9B"/>
    <w:rsid w:val="000B0B6E"/>
    <w:rsid w:val="000B116A"/>
    <w:rsid w:val="000B1E28"/>
    <w:rsid w:val="000B20E7"/>
    <w:rsid w:val="000B2725"/>
    <w:rsid w:val="000B6AE4"/>
    <w:rsid w:val="000B799B"/>
    <w:rsid w:val="000C3441"/>
    <w:rsid w:val="000C7F53"/>
    <w:rsid w:val="000D2F8E"/>
    <w:rsid w:val="000D44A7"/>
    <w:rsid w:val="000E14D7"/>
    <w:rsid w:val="000E70DC"/>
    <w:rsid w:val="000F04AF"/>
    <w:rsid w:val="000F196B"/>
    <w:rsid w:val="000F2703"/>
    <w:rsid w:val="001016E6"/>
    <w:rsid w:val="0010179A"/>
    <w:rsid w:val="00105361"/>
    <w:rsid w:val="00107925"/>
    <w:rsid w:val="001101F8"/>
    <w:rsid w:val="0011206F"/>
    <w:rsid w:val="0011656A"/>
    <w:rsid w:val="00117E10"/>
    <w:rsid w:val="0012220C"/>
    <w:rsid w:val="001346C8"/>
    <w:rsid w:val="00136EA3"/>
    <w:rsid w:val="0013725A"/>
    <w:rsid w:val="00137575"/>
    <w:rsid w:val="00144231"/>
    <w:rsid w:val="00150434"/>
    <w:rsid w:val="00155721"/>
    <w:rsid w:val="0015678B"/>
    <w:rsid w:val="0016503F"/>
    <w:rsid w:val="0016674F"/>
    <w:rsid w:val="00167CA0"/>
    <w:rsid w:val="0017120D"/>
    <w:rsid w:val="001714F6"/>
    <w:rsid w:val="00171C06"/>
    <w:rsid w:val="00171E5D"/>
    <w:rsid w:val="0017276E"/>
    <w:rsid w:val="00174118"/>
    <w:rsid w:val="00176168"/>
    <w:rsid w:val="00177158"/>
    <w:rsid w:val="001808A5"/>
    <w:rsid w:val="00181466"/>
    <w:rsid w:val="00184FD4"/>
    <w:rsid w:val="0018681F"/>
    <w:rsid w:val="00186B04"/>
    <w:rsid w:val="00186F1E"/>
    <w:rsid w:val="001902F0"/>
    <w:rsid w:val="00190836"/>
    <w:rsid w:val="00190C37"/>
    <w:rsid w:val="00193930"/>
    <w:rsid w:val="00194F7A"/>
    <w:rsid w:val="001963A5"/>
    <w:rsid w:val="00196F1E"/>
    <w:rsid w:val="00197EB0"/>
    <w:rsid w:val="00197FCA"/>
    <w:rsid w:val="001A27DB"/>
    <w:rsid w:val="001A6852"/>
    <w:rsid w:val="001B286A"/>
    <w:rsid w:val="001B2D02"/>
    <w:rsid w:val="001B3647"/>
    <w:rsid w:val="001B3BA4"/>
    <w:rsid w:val="001B77FA"/>
    <w:rsid w:val="001C0ABE"/>
    <w:rsid w:val="001C5852"/>
    <w:rsid w:val="001D45F0"/>
    <w:rsid w:val="001D7C2F"/>
    <w:rsid w:val="001E1701"/>
    <w:rsid w:val="001E4A33"/>
    <w:rsid w:val="001E5942"/>
    <w:rsid w:val="001E5C27"/>
    <w:rsid w:val="001F4F81"/>
    <w:rsid w:val="001F602B"/>
    <w:rsid w:val="001F6AC8"/>
    <w:rsid w:val="001F75BB"/>
    <w:rsid w:val="0020055F"/>
    <w:rsid w:val="002037D5"/>
    <w:rsid w:val="00206F90"/>
    <w:rsid w:val="002105C5"/>
    <w:rsid w:val="00212375"/>
    <w:rsid w:val="00212B03"/>
    <w:rsid w:val="002131AE"/>
    <w:rsid w:val="00215C10"/>
    <w:rsid w:val="00215C2D"/>
    <w:rsid w:val="002209E0"/>
    <w:rsid w:val="00223CB7"/>
    <w:rsid w:val="0022407F"/>
    <w:rsid w:val="002252C4"/>
    <w:rsid w:val="00226A85"/>
    <w:rsid w:val="0023183E"/>
    <w:rsid w:val="00235138"/>
    <w:rsid w:val="00243E36"/>
    <w:rsid w:val="0024540B"/>
    <w:rsid w:val="00245EF4"/>
    <w:rsid w:val="002473AC"/>
    <w:rsid w:val="00250E11"/>
    <w:rsid w:val="00251383"/>
    <w:rsid w:val="002522C9"/>
    <w:rsid w:val="00252A21"/>
    <w:rsid w:val="00253E4F"/>
    <w:rsid w:val="002542E4"/>
    <w:rsid w:val="00261053"/>
    <w:rsid w:val="0026257F"/>
    <w:rsid w:val="00262FDE"/>
    <w:rsid w:val="00263629"/>
    <w:rsid w:val="0027206C"/>
    <w:rsid w:val="002769BD"/>
    <w:rsid w:val="00276A75"/>
    <w:rsid w:val="0027777C"/>
    <w:rsid w:val="002809EA"/>
    <w:rsid w:val="00282A61"/>
    <w:rsid w:val="00284962"/>
    <w:rsid w:val="00285F2B"/>
    <w:rsid w:val="00287B0E"/>
    <w:rsid w:val="002A0B53"/>
    <w:rsid w:val="002A0EEF"/>
    <w:rsid w:val="002A76F9"/>
    <w:rsid w:val="002B0276"/>
    <w:rsid w:val="002B2DF7"/>
    <w:rsid w:val="002B56D1"/>
    <w:rsid w:val="002C0060"/>
    <w:rsid w:val="002C3BF4"/>
    <w:rsid w:val="002C749F"/>
    <w:rsid w:val="002D1A7F"/>
    <w:rsid w:val="002D70D4"/>
    <w:rsid w:val="002E11BF"/>
    <w:rsid w:val="002E1421"/>
    <w:rsid w:val="002E34BC"/>
    <w:rsid w:val="002E7B33"/>
    <w:rsid w:val="002F059B"/>
    <w:rsid w:val="002F51DB"/>
    <w:rsid w:val="002F5B0B"/>
    <w:rsid w:val="002F6C41"/>
    <w:rsid w:val="00300924"/>
    <w:rsid w:val="003009BC"/>
    <w:rsid w:val="00300B3E"/>
    <w:rsid w:val="003056C2"/>
    <w:rsid w:val="0030596E"/>
    <w:rsid w:val="00306063"/>
    <w:rsid w:val="003073C3"/>
    <w:rsid w:val="00323637"/>
    <w:rsid w:val="00324E8A"/>
    <w:rsid w:val="00327CD8"/>
    <w:rsid w:val="00330D60"/>
    <w:rsid w:val="00331D87"/>
    <w:rsid w:val="00332850"/>
    <w:rsid w:val="00334478"/>
    <w:rsid w:val="003346B4"/>
    <w:rsid w:val="00334AE6"/>
    <w:rsid w:val="003365D0"/>
    <w:rsid w:val="00337678"/>
    <w:rsid w:val="003439AB"/>
    <w:rsid w:val="0035034C"/>
    <w:rsid w:val="00354695"/>
    <w:rsid w:val="0035549B"/>
    <w:rsid w:val="0035726C"/>
    <w:rsid w:val="00363374"/>
    <w:rsid w:val="003660E7"/>
    <w:rsid w:val="00371BB6"/>
    <w:rsid w:val="00372F07"/>
    <w:rsid w:val="003755C8"/>
    <w:rsid w:val="00375687"/>
    <w:rsid w:val="003806E0"/>
    <w:rsid w:val="00380AE0"/>
    <w:rsid w:val="00383324"/>
    <w:rsid w:val="003846D7"/>
    <w:rsid w:val="003869FA"/>
    <w:rsid w:val="00387A75"/>
    <w:rsid w:val="003904FD"/>
    <w:rsid w:val="00392416"/>
    <w:rsid w:val="00393C27"/>
    <w:rsid w:val="00394254"/>
    <w:rsid w:val="003A57BA"/>
    <w:rsid w:val="003B15D4"/>
    <w:rsid w:val="003B4280"/>
    <w:rsid w:val="003B536D"/>
    <w:rsid w:val="003C1A72"/>
    <w:rsid w:val="003C2BFB"/>
    <w:rsid w:val="003C436B"/>
    <w:rsid w:val="003C5337"/>
    <w:rsid w:val="003C5F92"/>
    <w:rsid w:val="003D7A8C"/>
    <w:rsid w:val="003D7C00"/>
    <w:rsid w:val="003E2F05"/>
    <w:rsid w:val="003E56E5"/>
    <w:rsid w:val="003E5862"/>
    <w:rsid w:val="003E7776"/>
    <w:rsid w:val="003E7E60"/>
    <w:rsid w:val="003F00D4"/>
    <w:rsid w:val="003F0191"/>
    <w:rsid w:val="003F1B69"/>
    <w:rsid w:val="003F2209"/>
    <w:rsid w:val="003F3887"/>
    <w:rsid w:val="003F3D39"/>
    <w:rsid w:val="003F646A"/>
    <w:rsid w:val="003F6761"/>
    <w:rsid w:val="003F6A0A"/>
    <w:rsid w:val="004024F5"/>
    <w:rsid w:val="00402DE1"/>
    <w:rsid w:val="00403D8B"/>
    <w:rsid w:val="004058F1"/>
    <w:rsid w:val="00407E7D"/>
    <w:rsid w:val="0041283D"/>
    <w:rsid w:val="00413AB4"/>
    <w:rsid w:val="00413D12"/>
    <w:rsid w:val="0041418E"/>
    <w:rsid w:val="00420885"/>
    <w:rsid w:val="00421373"/>
    <w:rsid w:val="00421FB7"/>
    <w:rsid w:val="0042763B"/>
    <w:rsid w:val="0043024C"/>
    <w:rsid w:val="00436571"/>
    <w:rsid w:val="00436706"/>
    <w:rsid w:val="004430C7"/>
    <w:rsid w:val="00443D38"/>
    <w:rsid w:val="00445350"/>
    <w:rsid w:val="00450E7A"/>
    <w:rsid w:val="00456AF8"/>
    <w:rsid w:val="0046344D"/>
    <w:rsid w:val="0046382A"/>
    <w:rsid w:val="004666CF"/>
    <w:rsid w:val="00470B15"/>
    <w:rsid w:val="00472B1C"/>
    <w:rsid w:val="00474A0E"/>
    <w:rsid w:val="00475869"/>
    <w:rsid w:val="00475A77"/>
    <w:rsid w:val="004866A9"/>
    <w:rsid w:val="00492081"/>
    <w:rsid w:val="00492774"/>
    <w:rsid w:val="00496D7A"/>
    <w:rsid w:val="004A31BC"/>
    <w:rsid w:val="004A3F1A"/>
    <w:rsid w:val="004A3F45"/>
    <w:rsid w:val="004A4179"/>
    <w:rsid w:val="004B0970"/>
    <w:rsid w:val="004B13A5"/>
    <w:rsid w:val="004B1AFA"/>
    <w:rsid w:val="004B6FCD"/>
    <w:rsid w:val="004B7088"/>
    <w:rsid w:val="004C28F7"/>
    <w:rsid w:val="004C4D12"/>
    <w:rsid w:val="004C5B76"/>
    <w:rsid w:val="004D02CD"/>
    <w:rsid w:val="004D0B24"/>
    <w:rsid w:val="004D111C"/>
    <w:rsid w:val="004D4B90"/>
    <w:rsid w:val="004D6B95"/>
    <w:rsid w:val="004D73E3"/>
    <w:rsid w:val="004D7F41"/>
    <w:rsid w:val="004E03A2"/>
    <w:rsid w:val="004E0479"/>
    <w:rsid w:val="004E317E"/>
    <w:rsid w:val="004E3954"/>
    <w:rsid w:val="004E4521"/>
    <w:rsid w:val="004E5856"/>
    <w:rsid w:val="004E7119"/>
    <w:rsid w:val="004F0B96"/>
    <w:rsid w:val="004F2330"/>
    <w:rsid w:val="004F4342"/>
    <w:rsid w:val="004F53C6"/>
    <w:rsid w:val="004F55C6"/>
    <w:rsid w:val="004F58B8"/>
    <w:rsid w:val="004F69DB"/>
    <w:rsid w:val="004F6B87"/>
    <w:rsid w:val="004F7C55"/>
    <w:rsid w:val="00501C2D"/>
    <w:rsid w:val="00502637"/>
    <w:rsid w:val="0050671F"/>
    <w:rsid w:val="00510504"/>
    <w:rsid w:val="00511140"/>
    <w:rsid w:val="00513CFE"/>
    <w:rsid w:val="00520187"/>
    <w:rsid w:val="00521442"/>
    <w:rsid w:val="00523B6A"/>
    <w:rsid w:val="005248A9"/>
    <w:rsid w:val="00525F6C"/>
    <w:rsid w:val="00533938"/>
    <w:rsid w:val="00546AB4"/>
    <w:rsid w:val="00550823"/>
    <w:rsid w:val="005514E5"/>
    <w:rsid w:val="00554C6A"/>
    <w:rsid w:val="005603B2"/>
    <w:rsid w:val="0056298D"/>
    <w:rsid w:val="00563C84"/>
    <w:rsid w:val="00567522"/>
    <w:rsid w:val="00572CCE"/>
    <w:rsid w:val="005762F6"/>
    <w:rsid w:val="00584FBE"/>
    <w:rsid w:val="00585483"/>
    <w:rsid w:val="00587378"/>
    <w:rsid w:val="00587C05"/>
    <w:rsid w:val="00590AAB"/>
    <w:rsid w:val="005938C3"/>
    <w:rsid w:val="005940BD"/>
    <w:rsid w:val="0059468C"/>
    <w:rsid w:val="005946AB"/>
    <w:rsid w:val="00595125"/>
    <w:rsid w:val="00596F21"/>
    <w:rsid w:val="005B1CDD"/>
    <w:rsid w:val="005B1E19"/>
    <w:rsid w:val="005B1FD9"/>
    <w:rsid w:val="005B55FC"/>
    <w:rsid w:val="005C1149"/>
    <w:rsid w:val="005C2D5E"/>
    <w:rsid w:val="005C3B81"/>
    <w:rsid w:val="005C650C"/>
    <w:rsid w:val="005C6BCE"/>
    <w:rsid w:val="005D086C"/>
    <w:rsid w:val="005D11D3"/>
    <w:rsid w:val="005D4E1F"/>
    <w:rsid w:val="005D4FB3"/>
    <w:rsid w:val="005E2F07"/>
    <w:rsid w:val="005E2FEA"/>
    <w:rsid w:val="005E3F86"/>
    <w:rsid w:val="005E6C4C"/>
    <w:rsid w:val="005F314B"/>
    <w:rsid w:val="005F4509"/>
    <w:rsid w:val="005F459E"/>
    <w:rsid w:val="00604DFF"/>
    <w:rsid w:val="00610708"/>
    <w:rsid w:val="00611AF2"/>
    <w:rsid w:val="0061212B"/>
    <w:rsid w:val="006127AF"/>
    <w:rsid w:val="00613A98"/>
    <w:rsid w:val="00615FB2"/>
    <w:rsid w:val="00617BD1"/>
    <w:rsid w:val="00617CE8"/>
    <w:rsid w:val="006278A0"/>
    <w:rsid w:val="0063095F"/>
    <w:rsid w:val="00631CBD"/>
    <w:rsid w:val="00634E63"/>
    <w:rsid w:val="00636990"/>
    <w:rsid w:val="0063704F"/>
    <w:rsid w:val="00646AC2"/>
    <w:rsid w:val="00650390"/>
    <w:rsid w:val="00654DAB"/>
    <w:rsid w:val="0066204A"/>
    <w:rsid w:val="006630D3"/>
    <w:rsid w:val="006631E2"/>
    <w:rsid w:val="00667822"/>
    <w:rsid w:val="00670A8F"/>
    <w:rsid w:val="00670E3C"/>
    <w:rsid w:val="00673169"/>
    <w:rsid w:val="006744E4"/>
    <w:rsid w:val="00674C7D"/>
    <w:rsid w:val="0067575A"/>
    <w:rsid w:val="00675C21"/>
    <w:rsid w:val="006761EF"/>
    <w:rsid w:val="00677BC7"/>
    <w:rsid w:val="00677F57"/>
    <w:rsid w:val="00681088"/>
    <w:rsid w:val="00690695"/>
    <w:rsid w:val="00694E16"/>
    <w:rsid w:val="0069577E"/>
    <w:rsid w:val="0069634B"/>
    <w:rsid w:val="00696623"/>
    <w:rsid w:val="006969F0"/>
    <w:rsid w:val="00696D06"/>
    <w:rsid w:val="006A04E9"/>
    <w:rsid w:val="006A16CC"/>
    <w:rsid w:val="006A4A03"/>
    <w:rsid w:val="006A7543"/>
    <w:rsid w:val="006A7837"/>
    <w:rsid w:val="006B725C"/>
    <w:rsid w:val="006C0A5C"/>
    <w:rsid w:val="006C273D"/>
    <w:rsid w:val="006C2E03"/>
    <w:rsid w:val="006C5C4F"/>
    <w:rsid w:val="006C6282"/>
    <w:rsid w:val="006C762A"/>
    <w:rsid w:val="006D02E2"/>
    <w:rsid w:val="006D4867"/>
    <w:rsid w:val="006D5E61"/>
    <w:rsid w:val="006D5FF9"/>
    <w:rsid w:val="006E0772"/>
    <w:rsid w:val="006E0F86"/>
    <w:rsid w:val="006E5549"/>
    <w:rsid w:val="006E6AC5"/>
    <w:rsid w:val="006F0371"/>
    <w:rsid w:val="006F0819"/>
    <w:rsid w:val="006F0B15"/>
    <w:rsid w:val="006F0DCC"/>
    <w:rsid w:val="007008F1"/>
    <w:rsid w:val="00703DF9"/>
    <w:rsid w:val="007048EB"/>
    <w:rsid w:val="0070493D"/>
    <w:rsid w:val="00704FBB"/>
    <w:rsid w:val="007056F5"/>
    <w:rsid w:val="007063BF"/>
    <w:rsid w:val="00706A12"/>
    <w:rsid w:val="0070726A"/>
    <w:rsid w:val="0071226B"/>
    <w:rsid w:val="00717040"/>
    <w:rsid w:val="007179E5"/>
    <w:rsid w:val="00737D44"/>
    <w:rsid w:val="00741F57"/>
    <w:rsid w:val="00743F1E"/>
    <w:rsid w:val="0074493E"/>
    <w:rsid w:val="00744B5A"/>
    <w:rsid w:val="00745C64"/>
    <w:rsid w:val="0074725F"/>
    <w:rsid w:val="00761DE8"/>
    <w:rsid w:val="007622A7"/>
    <w:rsid w:val="007664F4"/>
    <w:rsid w:val="00767F0C"/>
    <w:rsid w:val="007750A2"/>
    <w:rsid w:val="007817D6"/>
    <w:rsid w:val="00781E1C"/>
    <w:rsid w:val="00787912"/>
    <w:rsid w:val="0079039D"/>
    <w:rsid w:val="0079177A"/>
    <w:rsid w:val="0079203F"/>
    <w:rsid w:val="00792727"/>
    <w:rsid w:val="00794836"/>
    <w:rsid w:val="007948D5"/>
    <w:rsid w:val="007A15C9"/>
    <w:rsid w:val="007A3827"/>
    <w:rsid w:val="007A6676"/>
    <w:rsid w:val="007B149F"/>
    <w:rsid w:val="007B7074"/>
    <w:rsid w:val="007B7FF5"/>
    <w:rsid w:val="007C3FC6"/>
    <w:rsid w:val="007C4BF3"/>
    <w:rsid w:val="007C558D"/>
    <w:rsid w:val="007D188D"/>
    <w:rsid w:val="007D2CE9"/>
    <w:rsid w:val="007D4FED"/>
    <w:rsid w:val="007D69DA"/>
    <w:rsid w:val="007D70B1"/>
    <w:rsid w:val="007D7140"/>
    <w:rsid w:val="007D75B4"/>
    <w:rsid w:val="007E0F39"/>
    <w:rsid w:val="007E1CDB"/>
    <w:rsid w:val="007E408C"/>
    <w:rsid w:val="007E4AB0"/>
    <w:rsid w:val="007E50BF"/>
    <w:rsid w:val="007E7E21"/>
    <w:rsid w:val="007F0460"/>
    <w:rsid w:val="007F0799"/>
    <w:rsid w:val="007F0DA2"/>
    <w:rsid w:val="007F0EFB"/>
    <w:rsid w:val="007F39CE"/>
    <w:rsid w:val="007F5E0D"/>
    <w:rsid w:val="007F665D"/>
    <w:rsid w:val="00801085"/>
    <w:rsid w:val="00801A45"/>
    <w:rsid w:val="00801A89"/>
    <w:rsid w:val="00810F1A"/>
    <w:rsid w:val="00812138"/>
    <w:rsid w:val="008151F2"/>
    <w:rsid w:val="0081777A"/>
    <w:rsid w:val="008210E0"/>
    <w:rsid w:val="00824079"/>
    <w:rsid w:val="00830E64"/>
    <w:rsid w:val="00831967"/>
    <w:rsid w:val="00831F0A"/>
    <w:rsid w:val="00833A78"/>
    <w:rsid w:val="00834D88"/>
    <w:rsid w:val="008365CE"/>
    <w:rsid w:val="0084585F"/>
    <w:rsid w:val="00846BB4"/>
    <w:rsid w:val="00853E53"/>
    <w:rsid w:val="00854056"/>
    <w:rsid w:val="0085535C"/>
    <w:rsid w:val="00864D76"/>
    <w:rsid w:val="008656C9"/>
    <w:rsid w:val="0086711C"/>
    <w:rsid w:val="00867535"/>
    <w:rsid w:val="00870A3F"/>
    <w:rsid w:val="00875C5B"/>
    <w:rsid w:val="00877352"/>
    <w:rsid w:val="00883C5F"/>
    <w:rsid w:val="00890AC6"/>
    <w:rsid w:val="00891C7D"/>
    <w:rsid w:val="00892FA7"/>
    <w:rsid w:val="008938DC"/>
    <w:rsid w:val="008A012B"/>
    <w:rsid w:val="008A0EA8"/>
    <w:rsid w:val="008A3301"/>
    <w:rsid w:val="008A4DF1"/>
    <w:rsid w:val="008A5636"/>
    <w:rsid w:val="008A6D42"/>
    <w:rsid w:val="008B125E"/>
    <w:rsid w:val="008B241C"/>
    <w:rsid w:val="008B408B"/>
    <w:rsid w:val="008B4F11"/>
    <w:rsid w:val="008C2362"/>
    <w:rsid w:val="008C3049"/>
    <w:rsid w:val="008C4E97"/>
    <w:rsid w:val="008D4AE9"/>
    <w:rsid w:val="008D5CF3"/>
    <w:rsid w:val="008D7D39"/>
    <w:rsid w:val="008E1731"/>
    <w:rsid w:val="008E4574"/>
    <w:rsid w:val="008F3233"/>
    <w:rsid w:val="008F4016"/>
    <w:rsid w:val="008F42FE"/>
    <w:rsid w:val="008F4A00"/>
    <w:rsid w:val="008F4C0D"/>
    <w:rsid w:val="008F5402"/>
    <w:rsid w:val="0090053A"/>
    <w:rsid w:val="00901C2A"/>
    <w:rsid w:val="00903B91"/>
    <w:rsid w:val="009052B0"/>
    <w:rsid w:val="00906436"/>
    <w:rsid w:val="009118C7"/>
    <w:rsid w:val="00921B40"/>
    <w:rsid w:val="009225B6"/>
    <w:rsid w:val="00925397"/>
    <w:rsid w:val="009300C5"/>
    <w:rsid w:val="00932DD8"/>
    <w:rsid w:val="00933A21"/>
    <w:rsid w:val="00934C10"/>
    <w:rsid w:val="0093662A"/>
    <w:rsid w:val="0094060C"/>
    <w:rsid w:val="00940D4C"/>
    <w:rsid w:val="00942C4B"/>
    <w:rsid w:val="00944196"/>
    <w:rsid w:val="00944494"/>
    <w:rsid w:val="00944A5F"/>
    <w:rsid w:val="00956511"/>
    <w:rsid w:val="009606A5"/>
    <w:rsid w:val="00960C41"/>
    <w:rsid w:val="00962F1F"/>
    <w:rsid w:val="009639D9"/>
    <w:rsid w:val="00965304"/>
    <w:rsid w:val="00966E1B"/>
    <w:rsid w:val="00971293"/>
    <w:rsid w:val="00973A3B"/>
    <w:rsid w:val="00983C6F"/>
    <w:rsid w:val="00983EAE"/>
    <w:rsid w:val="009851AD"/>
    <w:rsid w:val="0098760B"/>
    <w:rsid w:val="0099270C"/>
    <w:rsid w:val="00993A72"/>
    <w:rsid w:val="009A11DD"/>
    <w:rsid w:val="009B30AA"/>
    <w:rsid w:val="009B3670"/>
    <w:rsid w:val="009B5217"/>
    <w:rsid w:val="009B5427"/>
    <w:rsid w:val="009C48DE"/>
    <w:rsid w:val="009C5767"/>
    <w:rsid w:val="009D31A4"/>
    <w:rsid w:val="009D3E73"/>
    <w:rsid w:val="009D60D9"/>
    <w:rsid w:val="009E1E1E"/>
    <w:rsid w:val="009E33E3"/>
    <w:rsid w:val="009E7B66"/>
    <w:rsid w:val="009E7F16"/>
    <w:rsid w:val="009F5052"/>
    <w:rsid w:val="00A03083"/>
    <w:rsid w:val="00A04C85"/>
    <w:rsid w:val="00A05BD9"/>
    <w:rsid w:val="00A100F0"/>
    <w:rsid w:val="00A10E8C"/>
    <w:rsid w:val="00A11556"/>
    <w:rsid w:val="00A13E58"/>
    <w:rsid w:val="00A14E83"/>
    <w:rsid w:val="00A156E6"/>
    <w:rsid w:val="00A177C5"/>
    <w:rsid w:val="00A27D86"/>
    <w:rsid w:val="00A30A3D"/>
    <w:rsid w:val="00A33151"/>
    <w:rsid w:val="00A3626C"/>
    <w:rsid w:val="00A36970"/>
    <w:rsid w:val="00A373EC"/>
    <w:rsid w:val="00A41EB4"/>
    <w:rsid w:val="00A44BFF"/>
    <w:rsid w:val="00A4698D"/>
    <w:rsid w:val="00A4759E"/>
    <w:rsid w:val="00A501E3"/>
    <w:rsid w:val="00A50ACF"/>
    <w:rsid w:val="00A50F0C"/>
    <w:rsid w:val="00A56441"/>
    <w:rsid w:val="00A56FFE"/>
    <w:rsid w:val="00A61009"/>
    <w:rsid w:val="00A6795A"/>
    <w:rsid w:val="00A736DD"/>
    <w:rsid w:val="00A82869"/>
    <w:rsid w:val="00A8758C"/>
    <w:rsid w:val="00A96075"/>
    <w:rsid w:val="00AA127E"/>
    <w:rsid w:val="00AA19AE"/>
    <w:rsid w:val="00AA2FC1"/>
    <w:rsid w:val="00AA423D"/>
    <w:rsid w:val="00AA62D8"/>
    <w:rsid w:val="00AA6A95"/>
    <w:rsid w:val="00AB10DE"/>
    <w:rsid w:val="00AB3668"/>
    <w:rsid w:val="00AB3BEA"/>
    <w:rsid w:val="00AB4AE9"/>
    <w:rsid w:val="00AB4E58"/>
    <w:rsid w:val="00AB5B39"/>
    <w:rsid w:val="00AB5ED7"/>
    <w:rsid w:val="00AB621F"/>
    <w:rsid w:val="00AC0B4C"/>
    <w:rsid w:val="00AC34E8"/>
    <w:rsid w:val="00AC4822"/>
    <w:rsid w:val="00AD0AEE"/>
    <w:rsid w:val="00AD49E3"/>
    <w:rsid w:val="00AD4B4F"/>
    <w:rsid w:val="00AD4DB2"/>
    <w:rsid w:val="00AD5E18"/>
    <w:rsid w:val="00AE4066"/>
    <w:rsid w:val="00AF0616"/>
    <w:rsid w:val="00AF0B90"/>
    <w:rsid w:val="00AF0E28"/>
    <w:rsid w:val="00AF20A7"/>
    <w:rsid w:val="00AF6A0C"/>
    <w:rsid w:val="00AF6F9B"/>
    <w:rsid w:val="00B01409"/>
    <w:rsid w:val="00B04C7B"/>
    <w:rsid w:val="00B10DBD"/>
    <w:rsid w:val="00B1534B"/>
    <w:rsid w:val="00B15629"/>
    <w:rsid w:val="00B23081"/>
    <w:rsid w:val="00B2372C"/>
    <w:rsid w:val="00B279EB"/>
    <w:rsid w:val="00B3095A"/>
    <w:rsid w:val="00B32F70"/>
    <w:rsid w:val="00B3728C"/>
    <w:rsid w:val="00B373D0"/>
    <w:rsid w:val="00B43AAA"/>
    <w:rsid w:val="00B473C7"/>
    <w:rsid w:val="00B53139"/>
    <w:rsid w:val="00B562CE"/>
    <w:rsid w:val="00B568CA"/>
    <w:rsid w:val="00B572C7"/>
    <w:rsid w:val="00B60819"/>
    <w:rsid w:val="00B62DE2"/>
    <w:rsid w:val="00B70D6E"/>
    <w:rsid w:val="00B727D0"/>
    <w:rsid w:val="00B74417"/>
    <w:rsid w:val="00B77246"/>
    <w:rsid w:val="00B83129"/>
    <w:rsid w:val="00B8333A"/>
    <w:rsid w:val="00B866CD"/>
    <w:rsid w:val="00B93034"/>
    <w:rsid w:val="00B93A81"/>
    <w:rsid w:val="00B95A3D"/>
    <w:rsid w:val="00B97C5D"/>
    <w:rsid w:val="00BA0233"/>
    <w:rsid w:val="00BA024C"/>
    <w:rsid w:val="00BA1290"/>
    <w:rsid w:val="00BA352D"/>
    <w:rsid w:val="00BB2792"/>
    <w:rsid w:val="00BB76BF"/>
    <w:rsid w:val="00BC1AD1"/>
    <w:rsid w:val="00BC43A2"/>
    <w:rsid w:val="00BC4A58"/>
    <w:rsid w:val="00BC613B"/>
    <w:rsid w:val="00BC6612"/>
    <w:rsid w:val="00BC7935"/>
    <w:rsid w:val="00BD51D9"/>
    <w:rsid w:val="00BD64E2"/>
    <w:rsid w:val="00BE0FFE"/>
    <w:rsid w:val="00BE4995"/>
    <w:rsid w:val="00BF429A"/>
    <w:rsid w:val="00BF62BE"/>
    <w:rsid w:val="00C00315"/>
    <w:rsid w:val="00C07126"/>
    <w:rsid w:val="00C14FEE"/>
    <w:rsid w:val="00C16853"/>
    <w:rsid w:val="00C16916"/>
    <w:rsid w:val="00C17ADA"/>
    <w:rsid w:val="00C17EC2"/>
    <w:rsid w:val="00C255AB"/>
    <w:rsid w:val="00C263F0"/>
    <w:rsid w:val="00C32BA9"/>
    <w:rsid w:val="00C33D41"/>
    <w:rsid w:val="00C34A32"/>
    <w:rsid w:val="00C372E7"/>
    <w:rsid w:val="00C408AB"/>
    <w:rsid w:val="00C40AFD"/>
    <w:rsid w:val="00C41132"/>
    <w:rsid w:val="00C412F9"/>
    <w:rsid w:val="00C41E20"/>
    <w:rsid w:val="00C42E3E"/>
    <w:rsid w:val="00C51C13"/>
    <w:rsid w:val="00C525A5"/>
    <w:rsid w:val="00C5300F"/>
    <w:rsid w:val="00C54594"/>
    <w:rsid w:val="00C5495E"/>
    <w:rsid w:val="00C66CE0"/>
    <w:rsid w:val="00C6723E"/>
    <w:rsid w:val="00C71BED"/>
    <w:rsid w:val="00C737B2"/>
    <w:rsid w:val="00C7526F"/>
    <w:rsid w:val="00C81B53"/>
    <w:rsid w:val="00C82AD2"/>
    <w:rsid w:val="00C8349A"/>
    <w:rsid w:val="00C90FB6"/>
    <w:rsid w:val="00C91141"/>
    <w:rsid w:val="00C9220E"/>
    <w:rsid w:val="00C932BD"/>
    <w:rsid w:val="00C93429"/>
    <w:rsid w:val="00C9486D"/>
    <w:rsid w:val="00CA140F"/>
    <w:rsid w:val="00CA16C5"/>
    <w:rsid w:val="00CA415A"/>
    <w:rsid w:val="00CA7A35"/>
    <w:rsid w:val="00CB1536"/>
    <w:rsid w:val="00CB7FB8"/>
    <w:rsid w:val="00CC1F71"/>
    <w:rsid w:val="00CC5588"/>
    <w:rsid w:val="00CC5EB3"/>
    <w:rsid w:val="00CD0E7B"/>
    <w:rsid w:val="00CD2ABD"/>
    <w:rsid w:val="00CD4024"/>
    <w:rsid w:val="00CD4617"/>
    <w:rsid w:val="00CD4855"/>
    <w:rsid w:val="00CE2EE6"/>
    <w:rsid w:val="00CE568D"/>
    <w:rsid w:val="00CE6D43"/>
    <w:rsid w:val="00CE7888"/>
    <w:rsid w:val="00CF23E8"/>
    <w:rsid w:val="00D07EB2"/>
    <w:rsid w:val="00D10E1C"/>
    <w:rsid w:val="00D14CC8"/>
    <w:rsid w:val="00D15D19"/>
    <w:rsid w:val="00D161A3"/>
    <w:rsid w:val="00D215B8"/>
    <w:rsid w:val="00D22E49"/>
    <w:rsid w:val="00D23716"/>
    <w:rsid w:val="00D25ED8"/>
    <w:rsid w:val="00D26117"/>
    <w:rsid w:val="00D27F8F"/>
    <w:rsid w:val="00D316B8"/>
    <w:rsid w:val="00D31CFC"/>
    <w:rsid w:val="00D3255D"/>
    <w:rsid w:val="00D328A7"/>
    <w:rsid w:val="00D340C3"/>
    <w:rsid w:val="00D34CF6"/>
    <w:rsid w:val="00D409CD"/>
    <w:rsid w:val="00D423D4"/>
    <w:rsid w:val="00D42CAF"/>
    <w:rsid w:val="00D43C14"/>
    <w:rsid w:val="00D500F8"/>
    <w:rsid w:val="00D52080"/>
    <w:rsid w:val="00D5310F"/>
    <w:rsid w:val="00D55350"/>
    <w:rsid w:val="00D601EF"/>
    <w:rsid w:val="00D602FD"/>
    <w:rsid w:val="00D61209"/>
    <w:rsid w:val="00D61533"/>
    <w:rsid w:val="00D63B2F"/>
    <w:rsid w:val="00D67D06"/>
    <w:rsid w:val="00D70547"/>
    <w:rsid w:val="00D70747"/>
    <w:rsid w:val="00D7261D"/>
    <w:rsid w:val="00D755FC"/>
    <w:rsid w:val="00D768EC"/>
    <w:rsid w:val="00D76B6D"/>
    <w:rsid w:val="00D84D07"/>
    <w:rsid w:val="00D8526A"/>
    <w:rsid w:val="00D85B4E"/>
    <w:rsid w:val="00D90E91"/>
    <w:rsid w:val="00D90EFE"/>
    <w:rsid w:val="00D94FBE"/>
    <w:rsid w:val="00D962E7"/>
    <w:rsid w:val="00DA07EB"/>
    <w:rsid w:val="00DB2AA7"/>
    <w:rsid w:val="00DB300B"/>
    <w:rsid w:val="00DB3895"/>
    <w:rsid w:val="00DB60E1"/>
    <w:rsid w:val="00DC1347"/>
    <w:rsid w:val="00DC300E"/>
    <w:rsid w:val="00DC39F1"/>
    <w:rsid w:val="00DD1CBD"/>
    <w:rsid w:val="00DD3A39"/>
    <w:rsid w:val="00DD62F9"/>
    <w:rsid w:val="00DE022E"/>
    <w:rsid w:val="00DE1FF4"/>
    <w:rsid w:val="00DE2D4F"/>
    <w:rsid w:val="00DE4B35"/>
    <w:rsid w:val="00DF19C1"/>
    <w:rsid w:val="00DF4D16"/>
    <w:rsid w:val="00DF54CA"/>
    <w:rsid w:val="00DF56C9"/>
    <w:rsid w:val="00DF5B64"/>
    <w:rsid w:val="00DF77A5"/>
    <w:rsid w:val="00E01D4B"/>
    <w:rsid w:val="00E02794"/>
    <w:rsid w:val="00E043E3"/>
    <w:rsid w:val="00E0505B"/>
    <w:rsid w:val="00E11280"/>
    <w:rsid w:val="00E12359"/>
    <w:rsid w:val="00E152FF"/>
    <w:rsid w:val="00E17246"/>
    <w:rsid w:val="00E208AA"/>
    <w:rsid w:val="00E2461B"/>
    <w:rsid w:val="00E24886"/>
    <w:rsid w:val="00E26F58"/>
    <w:rsid w:val="00E276FB"/>
    <w:rsid w:val="00E31F30"/>
    <w:rsid w:val="00E32595"/>
    <w:rsid w:val="00E32DC6"/>
    <w:rsid w:val="00E32FEC"/>
    <w:rsid w:val="00E334F6"/>
    <w:rsid w:val="00E33A74"/>
    <w:rsid w:val="00E36133"/>
    <w:rsid w:val="00E4030B"/>
    <w:rsid w:val="00E41D56"/>
    <w:rsid w:val="00E457DF"/>
    <w:rsid w:val="00E46642"/>
    <w:rsid w:val="00E4778F"/>
    <w:rsid w:val="00E5139A"/>
    <w:rsid w:val="00E51C73"/>
    <w:rsid w:val="00E5413D"/>
    <w:rsid w:val="00E57977"/>
    <w:rsid w:val="00E61ED5"/>
    <w:rsid w:val="00E635D7"/>
    <w:rsid w:val="00E6583F"/>
    <w:rsid w:val="00E70576"/>
    <w:rsid w:val="00E71DED"/>
    <w:rsid w:val="00E75296"/>
    <w:rsid w:val="00E8007A"/>
    <w:rsid w:val="00E80A20"/>
    <w:rsid w:val="00E83954"/>
    <w:rsid w:val="00E86506"/>
    <w:rsid w:val="00E90745"/>
    <w:rsid w:val="00E90779"/>
    <w:rsid w:val="00E91730"/>
    <w:rsid w:val="00E96F04"/>
    <w:rsid w:val="00E97AEC"/>
    <w:rsid w:val="00EA20FE"/>
    <w:rsid w:val="00EB491E"/>
    <w:rsid w:val="00EB681B"/>
    <w:rsid w:val="00EC0FDD"/>
    <w:rsid w:val="00EC4AB8"/>
    <w:rsid w:val="00EC4FAD"/>
    <w:rsid w:val="00ED20CF"/>
    <w:rsid w:val="00ED227C"/>
    <w:rsid w:val="00ED2C97"/>
    <w:rsid w:val="00ED6831"/>
    <w:rsid w:val="00ED7B37"/>
    <w:rsid w:val="00EE3CFA"/>
    <w:rsid w:val="00EE5208"/>
    <w:rsid w:val="00EE62E1"/>
    <w:rsid w:val="00EE69E4"/>
    <w:rsid w:val="00EF2A7F"/>
    <w:rsid w:val="00EF6953"/>
    <w:rsid w:val="00EF7E90"/>
    <w:rsid w:val="00F002B6"/>
    <w:rsid w:val="00F036DF"/>
    <w:rsid w:val="00F10AFE"/>
    <w:rsid w:val="00F10BA2"/>
    <w:rsid w:val="00F135CD"/>
    <w:rsid w:val="00F15C6C"/>
    <w:rsid w:val="00F17173"/>
    <w:rsid w:val="00F20987"/>
    <w:rsid w:val="00F224DC"/>
    <w:rsid w:val="00F2687F"/>
    <w:rsid w:val="00F26A5E"/>
    <w:rsid w:val="00F27F29"/>
    <w:rsid w:val="00F32D54"/>
    <w:rsid w:val="00F36C54"/>
    <w:rsid w:val="00F418EA"/>
    <w:rsid w:val="00F41A29"/>
    <w:rsid w:val="00F44C1C"/>
    <w:rsid w:val="00F454EA"/>
    <w:rsid w:val="00F47759"/>
    <w:rsid w:val="00F50957"/>
    <w:rsid w:val="00F518DF"/>
    <w:rsid w:val="00F52957"/>
    <w:rsid w:val="00F53DEF"/>
    <w:rsid w:val="00F544DB"/>
    <w:rsid w:val="00F57626"/>
    <w:rsid w:val="00F648EA"/>
    <w:rsid w:val="00F6502E"/>
    <w:rsid w:val="00F65663"/>
    <w:rsid w:val="00F71792"/>
    <w:rsid w:val="00F75147"/>
    <w:rsid w:val="00F756C0"/>
    <w:rsid w:val="00F75A40"/>
    <w:rsid w:val="00F77637"/>
    <w:rsid w:val="00F8435D"/>
    <w:rsid w:val="00F862E5"/>
    <w:rsid w:val="00F86C49"/>
    <w:rsid w:val="00F87DD0"/>
    <w:rsid w:val="00F910D6"/>
    <w:rsid w:val="00F93360"/>
    <w:rsid w:val="00F93FE4"/>
    <w:rsid w:val="00F97E4E"/>
    <w:rsid w:val="00FA01B1"/>
    <w:rsid w:val="00FA1A40"/>
    <w:rsid w:val="00FA217B"/>
    <w:rsid w:val="00FA691C"/>
    <w:rsid w:val="00FB0BC5"/>
    <w:rsid w:val="00FB0BCC"/>
    <w:rsid w:val="00FB2F69"/>
    <w:rsid w:val="00FC0FE5"/>
    <w:rsid w:val="00FD114E"/>
    <w:rsid w:val="00FD1ABC"/>
    <w:rsid w:val="00FD408F"/>
    <w:rsid w:val="00FD7DDF"/>
    <w:rsid w:val="00FE3220"/>
    <w:rsid w:val="00FE4C92"/>
    <w:rsid w:val="00FF0FAA"/>
    <w:rsid w:val="00FF1FCC"/>
    <w:rsid w:val="00FF3759"/>
    <w:rsid w:val="00FF4396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BE568"/>
  <w15:docId w15:val="{D1549173-C67D-4C4C-83F0-DF5F5C5DCAA4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hr-H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locked="1" w:semiHidden="1" w:uiPriority="0" w:unhideWhenUsed="1" w:qFormat="1"/>
    <w:lsdException w:name="footer" w:locked="1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BF"/>
    <w:pPr>
      <w:spacing w:line="288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7E50B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72CC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72CC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E50B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E50B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E50B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E50B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50B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E50B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lang w:val="hr-HR" w:eastAsia="hr-HR" w:bidi="hr-HR"/>
    </w:rPr>
  </w:style>
  <w:style w:type="character" w:customStyle="1" w:styleId="Heading2Char">
    <w:name w:val="Heading 2 Char"/>
    <w:basedOn w:val="DefaultParagraphFont"/>
    <w:link w:val="Heading2"/>
    <w:locked/>
    <w:rsid w:val="003869FA"/>
    <w:rPr>
      <w:lang w:eastAsia="hr-HR" w:bidi="hr-HR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lang w:eastAsia="hr-HR" w:bidi="hr-HR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lang w:val="hr-HR" w:eastAsia="hr-HR" w:bidi="hr-HR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lang w:val="hr-HR" w:eastAsia="hr-HR" w:bidi="hr-HR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lang w:val="hr-HR" w:eastAsia="hr-HR" w:bidi="hr-HR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lang w:val="hr-HR" w:eastAsia="hr-HR" w:bidi="hr-HR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lang w:val="hr-HR" w:eastAsia="hr-HR" w:bidi="hr-HR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lang w:val="hr-HR" w:eastAsia="hr-HR" w:bidi="hr-HR"/>
    </w:rPr>
  </w:style>
  <w:style w:type="paragraph" w:styleId="Footer">
    <w:name w:val="footer"/>
    <w:basedOn w:val="Normal"/>
    <w:link w:val="FooterChar"/>
    <w:qFormat/>
    <w:rsid w:val="007E50BF"/>
  </w:style>
  <w:style w:type="character" w:customStyle="1" w:styleId="FooterChar">
    <w:name w:val="Footer Char"/>
    <w:basedOn w:val="DefaultParagraphFont"/>
    <w:link w:val="Footer"/>
    <w:locked/>
    <w:rsid w:val="00CB1536"/>
    <w:rPr>
      <w:lang w:eastAsia="hr-HR" w:bidi="hr-HR"/>
    </w:rPr>
  </w:style>
  <w:style w:type="paragraph" w:styleId="FootnoteText">
    <w:name w:val="footnote text"/>
    <w:basedOn w:val="Normal"/>
    <w:link w:val="FootnoteTextChar"/>
    <w:qFormat/>
    <w:rsid w:val="007E50B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lang w:val="hr-HR" w:eastAsia="hr-HR" w:bidi="hr-HR"/>
    </w:rPr>
  </w:style>
  <w:style w:type="paragraph" w:styleId="Header">
    <w:name w:val="header"/>
    <w:basedOn w:val="Normal"/>
    <w:link w:val="HeaderChar"/>
    <w:qFormat/>
    <w:rsid w:val="007E50BF"/>
  </w:style>
  <w:style w:type="character" w:customStyle="1" w:styleId="HeaderChar">
    <w:name w:val="Header Char"/>
    <w:basedOn w:val="DefaultParagraphFont"/>
    <w:link w:val="Header"/>
    <w:locked/>
    <w:rsid w:val="00CB1536"/>
    <w:rPr>
      <w:lang w:eastAsia="hr-HR" w:bidi="hr-HR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7E50BF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styleId="BalloonText">
    <w:name w:val="Balloon Text"/>
    <w:basedOn w:val="Normal"/>
    <w:link w:val="BalloonTextChar"/>
    <w:uiPriority w:val="99"/>
    <w:semiHidden/>
    <w:unhideWhenUsed/>
    <w:rsid w:val="007E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F"/>
    <w:rPr>
      <w:rFonts w:ascii="Tahoma" w:hAnsi="Tahoma" w:cs="Tahoma"/>
      <w:sz w:val="16"/>
      <w:szCs w:val="16"/>
      <w:lang w:val="hr-HR" w:eastAsia="hr-HR" w:bidi="hr-HR"/>
    </w:rPr>
  </w:style>
  <w:style w:type="paragraph" w:customStyle="1" w:styleId="quotes">
    <w:name w:val="quotes"/>
    <w:basedOn w:val="Normal"/>
    <w:next w:val="Normal"/>
    <w:rsid w:val="007E50BF"/>
    <w:pPr>
      <w:ind w:left="720"/>
    </w:pPr>
    <w:rPr>
      <w:i/>
    </w:rPr>
  </w:style>
  <w:style w:type="character" w:styleId="Emphasis">
    <w:name w:val="Emphasis"/>
    <w:basedOn w:val="DefaultParagraphFont"/>
    <w:uiPriority w:val="20"/>
    <w:qFormat/>
    <w:locked/>
    <w:rsid w:val="005248A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HR/TXT/?uri=OJ:C:2018:081:TOC" TargetMode="External"/><Relationship Id="rId2" Type="http://schemas.openxmlformats.org/officeDocument/2006/relationships/hyperlink" Target="http://eur-lex.europa.eu/legal-content/HR/TXT/?qid=1504859541840&amp;uri=CELEX:52016AE6894" TargetMode="External"/><Relationship Id="rId1" Type="http://schemas.openxmlformats.org/officeDocument/2006/relationships/hyperlink" Target="http://eur-lex.europa.eu/search.html?instInvStatus=ALL&amp;or0=DTT=PC,DTT=DC,DTT=SC,DTT=JC&amp;locale=en&amp;DTN=0501&amp;DTA=2016&amp;qid=1487069583436&amp;DTC=false&amp;DTS_DOM=ALL&amp;type=advanced&amp;DTS=5&amp;SUBDOM_INIT=ALL_ALL&amp;DTS_SUBDOM=ALL_ALL" TargetMode="External"/><Relationship Id="rId4" Type="http://schemas.openxmlformats.org/officeDocument/2006/relationships/hyperlink" Target="https://ec.europa.eu/transparency/regdoc/rep/1/2017/EN/COM-2017-675-F1-EN-MAIN-PART-1.PDF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WTPCSN73YJ26-8-12131</_dlc_DocId>
    <_dlc_DocIdUrl xmlns="8a3471f6-0f36-4ccf-b5ee-1ca67ea797ef">
      <Url>http://dm/EESC/2017/_layouts/DocIdRedir.aspx?ID=WTPCSN73YJ26-8-12131</Url>
      <Description>WTPCSN73YJ26-8-12131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MeetingNumber xmlns="aec2565f-fa8c-45b6-95fc-3f27706042d7" xsi:nil="true"/>
    <Procedure xmlns="8a3471f6-0f36-4ccf-b5ee-1ca67ea797e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</TermName>
          <TermId xmlns="http://schemas.microsoft.com/office/infopath/2007/PartnerControls">5e12260d-3aca-41f8-baf2-ad3d18475f10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2018-04-26T12:00:00+00:00</ProductionDate>
    <DocumentNumber xmlns="aec2565f-fa8c-45b6-95fc-3f27706042d7">5986</DocumentNumber>
    <FicheYear xmlns="8a3471f6-0f36-4ccf-b5ee-1ca67ea797ef">2017</FicheYear>
    <DocumentVersion xmlns="8a3471f6-0f36-4ccf-b5ee-1ca67ea797ef">0</DocumentVersion>
    <DossierNumber xmlns="8a3471f6-0f36-4ccf-b5ee-1ca67ea797ef">655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67</Value>
      <Value>18</Value>
      <Value>15</Value>
      <Value>14</Value>
      <Value>12</Value>
      <Value>8</Value>
      <Value>96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Rapporteur xmlns="8a3471f6-0f36-4ccf-b5ee-1ca67ea797ef">SAMM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a3471f6-0f36-4ccf-b5ee-1ca67ea797ef">4904</FicheNumber>
    <DocumentYear xmlns="8a3471f6-0f36-4ccf-b5ee-1ca67ea797ef">2017</DocumentYear>
    <AdoptionDate xmlns="8a3471f6-0f36-4ccf-b5ee-1ca67ea797ef">2018-04-19T12:00:00+00:00</AdoptionDate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Transports, énergie, infrastructures, société de l'information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8B203C585D2E54E8477D21D46703D0B" ma:contentTypeVersion="4" ma:contentTypeDescription="Defines the documents for Document Manager V2" ma:contentTypeScope="" ma:versionID="3f64119e6ef0341831616a1b03f5ae5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ec2565f-fa8c-45b6-95fc-3f27706042d7" targetNamespace="http://schemas.microsoft.com/office/2006/metadata/properties" ma:root="true" ma:fieldsID="d5014c4f35df7613a330b0d3999c5d27" ns2:_="" ns3:_="" ns4:_="">
    <xsd:import namespace="8a3471f6-0f36-4ccf-b5ee-1ca67ea797ef"/>
    <xsd:import namespace="http://schemas.microsoft.com/sharepoint/v3/fields"/>
    <xsd:import namespace="aec2565f-fa8c-45b6-95fc-3f27706042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565f-fa8c-45b6-95fc-3f27706042d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178D46-749D-4B34-AE2B-827C1F8F7C24}"/>
</file>

<file path=customXml/itemProps2.xml><?xml version="1.0" encoding="utf-8"?>
<ds:datastoreItem xmlns:ds="http://schemas.openxmlformats.org/officeDocument/2006/customXml" ds:itemID="{90CBD04E-6A5E-48AF-A4C2-39AF8D6C755C}"/>
</file>

<file path=customXml/itemProps3.xml><?xml version="1.0" encoding="utf-8"?>
<ds:datastoreItem xmlns:ds="http://schemas.openxmlformats.org/officeDocument/2006/customXml" ds:itemID="{BA470676-BA11-4F02-B286-5FDA13F4F3A5}"/>
</file>

<file path=customXml/itemProps4.xml><?xml version="1.0" encoding="utf-8"?>
<ds:datastoreItem xmlns:ds="http://schemas.openxmlformats.org/officeDocument/2006/customXml" ds:itemID="{7D21FAAA-52A5-4DE6-B372-3BA34C73EAE7}"/>
</file>

<file path=customXml/itemProps5.xml><?xml version="1.0" encoding="utf-8"?>
<ds:datastoreItem xmlns:ds="http://schemas.openxmlformats.org/officeDocument/2006/customXml" ds:itemID="{58DEDF0C-9DAA-4B99-9B53-8BB07459AADE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9</Pages>
  <Words>2851</Words>
  <Characters>16251</Characters>
  <Application>Microsoft Office Word</Application>
  <DocSecurity>0</DocSecurity>
  <Lines>135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Achieving low emission mobility targets</vt:lpstr>
      <vt:lpstr>Aviation: Open and Connected Europe</vt:lpstr>
      <vt:lpstr>European Agenda on Migration: Second implementation package - A permanent crisis relocation mechanism under the Dublin system</vt:lpstr>
    </vt:vector>
  </TitlesOfParts>
  <Company>CESE-CdR</Company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Ostvarivanje mobilnosti s niskom razinom emisija</dc:title>
  <dc:creator>Denise Ivanovich</dc:creator>
  <cp:keywords>EESC-2017-05986-00-00-AC-TRA-EN</cp:keywords>
  <dc:description>Rapporteur: SAMM - Original language: EN - Date of document: 26/04/2018 - Date of meeting:  - External documents: COM(2017)675-final - Administrator: M. Ribeiro Pereira António Fernando</dc:description>
  <cp:lastModifiedBy>sveck</cp:lastModifiedBy>
  <cp:revision>7</cp:revision>
  <cp:lastPrinted>2018-04-24T12:03:00Z</cp:lastPrinted>
  <dcterms:created xsi:type="dcterms:W3CDTF">2018-04-26T09:58:00Z</dcterms:created>
  <dcterms:modified xsi:type="dcterms:W3CDTF">2018-04-26T10:02:00Z</dcterms:modified>
  <cp:category>TEN/655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24/04/2018, 24/04/2018, 10/04/2018, 10/04/2018, 19/03/2018, 12/03/2018, 12/03/2018, 07/02/2018, 15/11/2017, 15/11/2017, 18/10/2017, 22/09/2017, 04/11/2015, 27/10/2015, 19/10/2015, 09/10/2015, 05/10/2015, 05/10/2015, 26/08/2015, 26/08/2015, 25/08/2015</vt:lpwstr>
  </property>
  <property fmtid="{D5CDD505-2E9C-101B-9397-08002B2CF9AE}" pid="4" name="Pref_Time">
    <vt:lpwstr>15:26:50, 15:07:44, 11:43:24, 11:31:19, 11:43:45, 16:53:38, 16:48:31, 12:13:37, 09:19:26, 09:07:20, 10:17:10, 14:11:11, 12:10:07, 14:44:02, 16:04:16, 14:09:30, 16:24:55, 16:04:02, 08:56:14, 07:27:56, 17:31:53</vt:lpwstr>
  </property>
  <property fmtid="{D5CDD505-2E9C-101B-9397-08002B2CF9AE}" pid="5" name="Pref_User">
    <vt:lpwstr>tvoc, YMUR, hnic, htoo, tvoc, enied, ssex, mkop, tvoc, htoo, mkop, hnic, ssex, enied, amett, tvoc, mreg, mreg, amett, enied, ssex</vt:lpwstr>
  </property>
  <property fmtid="{D5CDD505-2E9C-101B-9397-08002B2CF9AE}" pid="6" name="Pref_FileName">
    <vt:lpwstr>EESC-2017-05986-00-00-AC-TRA-EN-CRR.docx, EESC-2017-05986-00-00-AC-CRR-EN.docx, EESC-2017-05986-00-00-AS-TRA-EN-CRR.docx, EESC-2017-05986-00-00-AS-CRR-EN.docx, EESC-2017-05986-00-01-PA-ORI.docx, EESC-2017-05986-00-00-PA-TRA-EN-CRR.docx, EESC-2017-05986-00</vt:lpwstr>
  </property>
  <property fmtid="{D5CDD505-2E9C-101B-9397-08002B2CF9AE}" pid="7" name="ContentTypeId">
    <vt:lpwstr>0x010100EA97B91038054C99906057A708A1480A0098B203C585D2E54E8477D21D46703D0B</vt:lpwstr>
  </property>
  <property fmtid="{D5CDD505-2E9C-101B-9397-08002B2CF9AE}" pid="8" name="_dlc_DocIdItemGuid">
    <vt:lpwstr>149f9bc3-7c1a-4e93-8242-6d689cb55aa4</vt:lpwstr>
  </property>
  <property fmtid="{D5CDD505-2E9C-101B-9397-08002B2CF9AE}" pid="9" name="DocumentType_0">
    <vt:lpwstr>AC|a4cc1d15-fb08-4679-ad46-e4e0cba5fe92</vt:lpwstr>
  </property>
  <property fmtid="{D5CDD505-2E9C-101B-9397-08002B2CF9AE}" pid="10" name="AvailableTranslations">
    <vt:lpwstr>12;#NL|55c6556c-b4f4-441d-9acf-c498d4f838bd;#31;#LT|a7ff5ce7-6123-4f68-865a-a57c31810414;#18;#DE|f6b31e5a-26fa-4935-b661-318e46daf27e;#36;#BG|1a1b3951-7821-4e6a-85f5-5673fc08bd2c;#35;#SL|98a412ae-eb01-49e9-ae3d-585a81724cfc;#33;#PL|1e03da61-4678-4e07-b136-b5024ca9197b;#29;#HU|6b229040-c589-4408-b4c1-4285663d20a8;#38;#HR|2f555653-ed1a-4fe6-8362-9082d95989e5;#25;#FI|87606a43-d45f-42d6-b8c9-e1a3457db5b7;#30;#LV|46f7e311-5d9f-4663-b433-18aeccb7ace7;#15;#PT|50ccc04a-eadd-42ae-a0cb-acaf45f812ba;#26;#SV|c2ed69e7-a339-43d7-8f22-d93680a92aa0;#28;#ET|ff6c3f4c-b02c-4c3c-ab07-2c37995a7a0a;#8;#FR|d2afafd3-4c81-4f60-8f52-ee33f2f54ff3;#37;#RO|feb747a2-64cd-4299-af12-4833ddc30497;#27;#CS|72f9705b-0217-4fd3-bea2-cbc7ed80e26e;#22;#IT|0774613c-01ed-4e5d-a25d-11d2388de825;#23;#DA|5d49c027-8956-412b-aa16-e85a0f96ad0e;#32;#MT|7df99101-6854-4a26-b53a-b88c0da02c26;#14;#ES|e7a6b05b-ae16-40c8-add9-68b64b03aeba;#34;#SK|46d9fce0-ef79-4f71-b89b-cd6aa82426b8;#24;#EL|6d4f4d51-af9b-4650-94b4-4276bee85c91;#4;#EN|f2175f21-25d7-44a3-96da-d6a61b075e1b</vt:lpwstr>
  </property>
  <property fmtid="{D5CDD505-2E9C-101B-9397-08002B2CF9AE}" pid="11" name="DossierName_0">
    <vt:lpwstr>TEN|5e12260d-3aca-41f8-baf2-ad3d18475f10</vt:lpwstr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5986</vt:i4>
  </property>
  <property fmtid="{D5CDD505-2E9C-101B-9397-08002B2CF9AE}" pid="15" name="DocumentVersion">
    <vt:i4>0</vt:i4>
  </property>
  <property fmtid="{D5CDD505-2E9C-101B-9397-08002B2CF9AE}" pid="16" name="DossierNumber">
    <vt:i4>655</vt:i4>
  </property>
  <property fmtid="{D5CDD505-2E9C-101B-9397-08002B2CF9AE}" pid="17" name="DocumentSource">
    <vt:lpwstr>1;#EESC|422833ec-8d7e-4e65-8e4e-8bed07ffb729</vt:lpwstr>
  </property>
  <property fmtid="{D5CDD505-2E9C-101B-9397-08002B2CF9AE}" pid="18" name="AdoptionDate">
    <vt:filetime>2018-04-19T12:00:00Z</vt:filetime>
  </property>
  <property fmtid="{D5CDD505-2E9C-101B-9397-08002B2CF9AE}" pid="19" name="DocumentType">
    <vt:lpwstr>96;#AC|a4cc1d15-fb08-4679-ad46-e4e0cba5fe92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>67;#TEN|5e12260d-3aca-41f8-baf2-ad3d18475f10</vt:lpwstr>
  </property>
  <property fmtid="{D5CDD505-2E9C-101B-9397-08002B2CF9AE}" pid="22" name="DocumentPart">
    <vt:i4>0</vt:i4>
  </property>
  <property fmtid="{D5CDD505-2E9C-101B-9397-08002B2CF9AE}" pid="23" name="RequestingService">
    <vt:lpwstr>Transports, énergie, infrastructures, société de l'information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2" name="TaxCatchAll">
    <vt:lpwstr>37;#RO|feb747a2-64cd-4299-af12-4833ddc30497;#36;#BG|1a1b3951-7821-4e6a-85f5-5673fc08bd2c;#35;#SL|98a412ae-eb01-49e9-ae3d-585a81724cfc;#34;#SK|46d9fce0-ef79-4f71-b89b-cd6aa82426b8;#33;#PL|1e03da61-4678-4e07-b136-b5024ca9197b;#32;#MT|7df99101-6854-4a26-b53a-b88c0da02c26;#31;#LT|a7ff5ce7-6123-4f68-865a-a57c31810414;#29;#HU|6b229040-c589-4408-b4c1-4285663d20a8;#26;#SV|c2ed69e7-a339-43d7-8f22-d93680a92aa0;#23;#DA|5d49c027-8956-412b-aa16-e85a0f96ad0e;#22;#IT|0774613c-01ed-4e5d-a25d-11d2388de825;#67;#TEN|5e12260d-3aca-41f8-baf2-ad3d18475f10;#18;#DE|f6b31e5a-26fa-4935-b661-318e46daf27e;#15;#PT|50ccc04a-eadd-42ae-a0cb-acaf45f812ba;#14;#ES|e7a6b05b-ae16-40c8-add9-68b64b03aeba;#12;#NL|55c6556c-b4f4-441d-9acf-c498d4f838bd;#8;#FR|d2afafd3-4c81-4f60-8f52-ee33f2f54ff3;#96;#AC|a4cc1d15-fb08-4679-ad46-e4e0cba5fe92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AvailableTranslations_0">
    <vt:lpwstr>NL|55c6556c-b4f4-441d-9acf-c498d4f838bd;LT|a7ff5ce7-6123-4f68-865a-a57c31810414;DE|f6b31e5a-26fa-4935-b661-318e46daf27e;BG|1a1b3951-7821-4e6a-85f5-5673fc08bd2c;SL|98a412ae-eb01-49e9-ae3d-585a81724cfc;PL|1e03da61-4678-4e07-b136-b5024ca9197b;HU|6b229040-c589-4408-b4c1-4285663d20a8;PT|50ccc04a-eadd-42ae-a0cb-acaf45f812ba;SV|c2ed69e7-a339-43d7-8f22-d93680a92aa0;FR|d2afafd3-4c81-4f60-8f52-ee33f2f54ff3;RO|feb747a2-64cd-4299-af12-4833ddc30497;IT|0774613c-01ed-4e5d-a25d-11d2388de825;DA|5d49c027-8956-412b-aa16-e85a0f96ad0e;MT|7df99101-6854-4a26-b53a-b88c0da02c26;ES|e7a6b05b-ae16-40c8-add9-68b64b03aeba;SK|46d9fce0-ef79-4f71-b89b-cd6aa82426b8;EN|f2175f21-25d7-44a3-96da-d6a61b075e1b</vt:lpwstr>
  </property>
  <property fmtid="{D5CDD505-2E9C-101B-9397-08002B2CF9AE}" pid="34" name="VersionStatus">
    <vt:lpwstr>6;#Final|ea5e6674-7b27-4bac-b091-73adbb394efe</vt:lpwstr>
  </property>
  <property fmtid="{D5CDD505-2E9C-101B-9397-08002B2CF9AE}" pid="35" name="Rapporteur">
    <vt:lpwstr>SAMM</vt:lpwstr>
  </property>
  <property fmtid="{D5CDD505-2E9C-101B-9397-08002B2CF9AE}" pid="36" name="VersionStatus_0">
    <vt:lpwstr>Final|ea5e6674-7b27-4bac-b091-73adbb394efe</vt:lpwstr>
  </property>
  <property fmtid="{D5CDD505-2E9C-101B-9397-08002B2CF9AE}" pid="37" name="FicheNumber">
    <vt:i4>4904</vt:i4>
  </property>
  <property fmtid="{D5CDD505-2E9C-101B-9397-08002B2CF9AE}" pid="38" name="DocumentYear">
    <vt:i4>2017</vt:i4>
  </property>
  <property fmtid="{D5CDD505-2E9C-101B-9397-08002B2CF9AE}" pid="39" name="DocumentLanguage">
    <vt:lpwstr>38;#HR|2f555653-ed1a-4fe6-8362-9082d95989e5</vt:lpwstr>
  </property>
</Properties>
</file>