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A068C" w:rsidR="00646AC2" w:rsidP="00EF4A90" w:rsidRDefault="003E0EB4" w14:paraId="7F464DB5" w14:textId="77777777">
      <w:pPr>
        <w:overflowPunct/>
        <w:adjustRightInd/>
        <w:jc w:val="center"/>
        <w:textAlignment w:val="auto"/>
      </w:pPr>
      <w:bookmarkStart w:name="_GoBack" w:id="0"/>
      <w:bookmarkEnd w:id="0"/>
      <w:r w:rsidRPr="00794CC8">
        <w:rPr>
          <w:noProof/>
          <w:lang w:val="en-US"/>
        </w:rPr>
        <w:drawing>
          <wp:inline distT="0" distB="0" distL="0" distR="0" wp14:anchorId="23441402" wp14:editId="05C04C4C">
            <wp:extent cx="1792800" cy="1240079"/>
            <wp:effectExtent l="0" t="0" r="0" b="0"/>
            <wp:docPr id="5" name="Picture 5" title="EESC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logo_EESC-vertical-positive-en-quadri_MR.jpg"/>
                    <pic:cNvPicPr/>
                  </pic:nvPicPr>
                  <pic:blipFill>
                    <a:blip r:embed="rId12">
                      <a:extLst>
                        <a:ext uri="{28A0092B-C50C-407E-A947-70E740481C1C}">
                          <a14:useLocalDpi xmlns:a14="http://schemas.microsoft.com/office/drawing/2010/main" val="0"/>
                        </a:ext>
                      </a:extLst>
                    </a:blip>
                    <a:stretch>
                      <a:fillRect/>
                    </a:stretch>
                  </pic:blipFill>
                  <pic:spPr>
                    <a:xfrm>
                      <a:off x="0" y="0"/>
                      <a:ext cx="1792800" cy="1240079"/>
                    </a:xfrm>
                    <a:prstGeom prst="rect">
                      <a:avLst/>
                    </a:prstGeom>
                  </pic:spPr>
                </pic:pic>
              </a:graphicData>
            </a:graphic>
          </wp:inline>
        </w:drawing>
      </w:r>
      <w:r w:rsidRPr="00794CC8" w:rsidR="00DB53C1">
        <w:rPr>
          <w:noProof/>
          <w:sz w:val="20"/>
          <w:lang w:val="en-US"/>
        </w:rPr>
        <mc:AlternateContent>
          <mc:Choice Requires="wps">
            <w:drawing>
              <wp:anchor distT="0" distB="0" distL="114300" distR="114300" simplePos="0" relativeHeight="251659264" behindDoc="1" locked="0" layoutInCell="0" allowOverlap="1" wp14:editId="38A529E5" wp14:anchorId="3D3BC299">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DB53C1" w:rsidRDefault="00DB53C1" w14:paraId="010D2C50" w14:textId="77777777">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D3BC299">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DB53C1" w:rsidRDefault="00DB53C1" w14:paraId="010D2C50" w14:textId="77777777">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p>
    <w:p w:rsidRPr="00CD3799" w:rsidR="003E0EB4" w:rsidP="00EF4A90" w:rsidRDefault="003E0EB4" w14:paraId="472008EC" w14:textId="77777777">
      <w:pPr>
        <w:overflowPunct/>
        <w:adjustRightInd/>
        <w:jc w:val="left"/>
        <w:textAlignment w:val="auto"/>
      </w:pPr>
    </w:p>
    <w:p w:rsidRPr="00A91E05" w:rsidR="00646AC2" w:rsidP="00EF4A90" w:rsidRDefault="001D18AD" w14:paraId="33031C6D" w14:textId="77777777">
      <w:pPr>
        <w:overflowPunct/>
        <w:adjustRightInd/>
        <w:jc w:val="right"/>
        <w:textAlignment w:val="auto"/>
      </w:pPr>
      <w:r w:rsidRPr="00A91E05">
        <w:rPr>
          <w:b/>
        </w:rPr>
        <w:t>TEN</w:t>
      </w:r>
      <w:r w:rsidRPr="00A91E05" w:rsidR="009B30AA">
        <w:rPr>
          <w:b/>
        </w:rPr>
        <w:t>/</w:t>
      </w:r>
      <w:r w:rsidRPr="00A91E05">
        <w:rPr>
          <w:b/>
        </w:rPr>
        <w:t>747</w:t>
      </w:r>
    </w:p>
    <w:p w:rsidRPr="00A91E05" w:rsidR="00563C84" w:rsidP="00EF4A90" w:rsidRDefault="003267F5" w14:paraId="19666182" w14:textId="01738D8F">
      <w:pPr>
        <w:jc w:val="right"/>
      </w:pPr>
      <w:r w:rsidRPr="00A91E05">
        <w:rPr>
          <w:b/>
        </w:rPr>
        <w:t>Intermodal trans</w:t>
      </w:r>
      <w:r w:rsidRPr="00A91E05" w:rsidR="006B40A0">
        <w:rPr>
          <w:b/>
        </w:rPr>
        <w:t>port and multimodal logistics</w:t>
      </w:r>
    </w:p>
    <w:p w:rsidRPr="00A91E05" w:rsidR="009B30AA" w:rsidP="00EF4A90" w:rsidRDefault="009B30AA" w14:paraId="07B77EE3" w14:textId="77777777">
      <w:pPr>
        <w:overflowPunct/>
        <w:adjustRightInd/>
        <w:textAlignment w:val="auto"/>
      </w:pPr>
    </w:p>
    <w:p w:rsidRPr="00A91E05" w:rsidR="009B30AA" w:rsidP="00EF4A90" w:rsidRDefault="009B30AA" w14:paraId="258B88F5" w14:textId="77777777">
      <w:pPr>
        <w:overflowPunct/>
        <w:adjustRightInd/>
        <w:textAlignment w:val="auto"/>
      </w:pPr>
    </w:p>
    <w:p w:rsidRPr="00A91E05" w:rsidR="00646AC2" w:rsidP="00EF4A90" w:rsidRDefault="008C3049" w14:paraId="7511E535" w14:textId="490A5811">
      <w:pPr>
        <w:overflowPunct/>
        <w:adjustRightInd/>
        <w:jc w:val="center"/>
        <w:textAlignment w:val="auto"/>
      </w:pPr>
      <w:r w:rsidRPr="00A91E05">
        <w:rPr>
          <w:b/>
          <w:sz w:val="28"/>
        </w:rPr>
        <w:t>DRAFT OPINION</w:t>
      </w:r>
      <w:r w:rsidRPr="00A91E05" w:rsidR="00563C84">
        <w:rPr>
          <w:b/>
          <w:sz w:val="28"/>
        </w:rPr>
        <w:br/>
      </w:r>
      <w:r w:rsidRPr="00A91E05" w:rsidR="00563C84">
        <w:rPr>
          <w:b/>
        </w:rPr>
        <w:br/>
      </w:r>
      <w:r w:rsidRPr="00A91E05" w:rsidR="001D18AD">
        <w:t>Section for Transport, Energy, Infrastructure and the Information Society</w:t>
      </w:r>
      <w:r w:rsidRPr="00A91E05" w:rsidR="00563C84">
        <w:t xml:space="preserve"> </w:t>
      </w:r>
      <w:r w:rsidRPr="00A91E05" w:rsidR="00563C84">
        <w:br/>
      </w:r>
      <w:r w:rsidRPr="00A91E05" w:rsidR="00563C84">
        <w:rPr>
          <w:b/>
        </w:rPr>
        <w:br/>
      </w:r>
      <w:r w:rsidRPr="00A91E05" w:rsidR="003267F5">
        <w:rPr>
          <w:b/>
        </w:rPr>
        <w:t xml:space="preserve">Intermodal transport and multimodal logistics – </w:t>
      </w:r>
      <w:r w:rsidRPr="00A91E05" w:rsidR="009A057D">
        <w:rPr>
          <w:b/>
        </w:rPr>
        <w:br/>
      </w:r>
      <w:r w:rsidRPr="00A91E05" w:rsidR="003267F5">
        <w:rPr>
          <w:b/>
        </w:rPr>
        <w:t>making modes complementary in greening transport</w:t>
      </w:r>
      <w:r w:rsidRPr="00A91E05" w:rsidR="00563C84">
        <w:rPr>
          <w:b/>
        </w:rPr>
        <w:br/>
      </w:r>
      <w:r w:rsidRPr="00A91E05" w:rsidR="00525F6C">
        <w:t>[</w:t>
      </w:r>
      <w:r w:rsidRPr="00A91E05" w:rsidR="001D18AD">
        <w:t>own-initiative opinion</w:t>
      </w:r>
      <w:r w:rsidRPr="00A91E05" w:rsidR="00525F6C">
        <w:t>]</w:t>
      </w:r>
    </w:p>
    <w:p w:rsidRPr="00A91E05" w:rsidR="009B30AA" w:rsidP="00EF4A90" w:rsidRDefault="009B30AA" w14:paraId="4A932A06" w14:textId="77777777">
      <w:pPr>
        <w:overflowPunct/>
        <w:adjustRightInd/>
        <w:jc w:val="center"/>
        <w:textAlignment w:val="auto"/>
      </w:pPr>
    </w:p>
    <w:tbl>
      <w:tblPr>
        <w:tblpPr w:leftFromText="181" w:rightFromText="181" w:tblpYSpec="bottom"/>
        <w:tblOverlap w:val="never"/>
        <w:tblW w:w="0" w:type="auto"/>
        <w:tblLayout w:type="fixed"/>
        <w:tblLook w:val="04A0" w:firstRow="1" w:lastRow="0" w:firstColumn="1" w:lastColumn="0" w:noHBand="0" w:noVBand="1"/>
      </w:tblPr>
      <w:tblGrid>
        <w:gridCol w:w="3085"/>
        <w:gridCol w:w="6204"/>
      </w:tblGrid>
      <w:tr w:rsidRPr="00A91E05" w:rsidR="00525F6C" w:rsidTr="003D1E0E" w14:paraId="03DDC2B3" w14:textId="77777777">
        <w:tc>
          <w:tcPr>
            <w:tcW w:w="9289" w:type="dxa"/>
            <w:gridSpan w:val="2"/>
          </w:tcPr>
          <w:p w:rsidRPr="00A91E05" w:rsidR="00525F6C" w:rsidP="00EF4A90" w:rsidRDefault="001C0ABE" w14:paraId="0AC0071E" w14:textId="2CE14D59">
            <w:pPr>
              <w:overflowPunct/>
              <w:adjustRightInd/>
              <w:jc w:val="left"/>
              <w:textAlignment w:val="auto"/>
              <w:rPr>
                <w:szCs w:val="22"/>
              </w:rPr>
            </w:pPr>
            <w:r w:rsidRPr="00A91E05">
              <w:t>For the</w:t>
            </w:r>
            <w:r w:rsidRPr="00A91E05" w:rsidR="00525F6C">
              <w:t xml:space="preserve"> attention of the </w:t>
            </w:r>
            <w:r w:rsidRPr="00A91E05" w:rsidR="00F00BF5">
              <w:t>section</w:t>
            </w:r>
            <w:r w:rsidRPr="00A91E05" w:rsidR="0029549C">
              <w:t xml:space="preserve"> </w:t>
            </w:r>
            <w:r w:rsidRPr="00A91E05" w:rsidR="00525F6C">
              <w:t>members</w:t>
            </w:r>
          </w:p>
        </w:tc>
      </w:tr>
      <w:tr w:rsidRPr="00A91E05" w:rsidR="001C0ABE" w:rsidTr="003D1E0E" w14:paraId="53E57B7C" w14:textId="77777777">
        <w:tc>
          <w:tcPr>
            <w:tcW w:w="9289" w:type="dxa"/>
            <w:gridSpan w:val="2"/>
          </w:tcPr>
          <w:p w:rsidRPr="00A91E05" w:rsidR="001C0ABE" w:rsidP="00EF4A90" w:rsidRDefault="001C0ABE" w14:paraId="6D82F45D" w14:textId="77777777">
            <w:pPr>
              <w:overflowPunct/>
              <w:adjustRightInd/>
              <w:jc w:val="left"/>
              <w:textAlignment w:val="auto"/>
              <w:rPr>
                <w:szCs w:val="22"/>
                <w:lang w:eastAsia="en-GB" w:bidi="en-GB"/>
              </w:rPr>
            </w:pPr>
          </w:p>
        </w:tc>
      </w:tr>
      <w:tr w:rsidRPr="00A91E05" w:rsidR="00C40106" w:rsidTr="003D1E0E" w14:paraId="7453553C" w14:textId="77777777">
        <w:tc>
          <w:tcPr>
            <w:tcW w:w="3085" w:type="dxa"/>
          </w:tcPr>
          <w:p w:rsidRPr="00A91E05" w:rsidR="00C40106" w:rsidP="00EF4A90" w:rsidRDefault="00E72612" w14:paraId="25BF2CE0" w14:textId="57B2857D">
            <w:pPr>
              <w:overflowPunct/>
              <w:adjustRightInd/>
              <w:jc w:val="left"/>
              <w:textAlignment w:val="auto"/>
              <w:rPr>
                <w:szCs w:val="22"/>
              </w:rPr>
            </w:pPr>
            <w:r>
              <w:t>Section</w:t>
            </w:r>
            <w:r w:rsidRPr="00A91E05">
              <w:t xml:space="preserve"> </w:t>
            </w:r>
            <w:r w:rsidRPr="00A91E05" w:rsidR="00C40106">
              <w:t xml:space="preserve"> meeting</w:t>
            </w:r>
          </w:p>
        </w:tc>
        <w:tc>
          <w:tcPr>
            <w:tcW w:w="6204" w:type="dxa"/>
          </w:tcPr>
          <w:p w:rsidRPr="00A91E05" w:rsidR="00C40106" w:rsidP="00EF4A90" w:rsidRDefault="00F00BF5" w14:paraId="32294546" w14:textId="0DDAE597">
            <w:pPr>
              <w:overflowPunct/>
              <w:adjustRightInd/>
              <w:jc w:val="left"/>
              <w:textAlignment w:val="auto"/>
              <w:rPr>
                <w:szCs w:val="22"/>
              </w:rPr>
            </w:pPr>
            <w:r w:rsidRPr="00A91E05">
              <w:t>24</w:t>
            </w:r>
            <w:r w:rsidRPr="00A91E05" w:rsidR="00C40106">
              <w:t>/</w:t>
            </w:r>
            <w:r w:rsidRPr="00A91E05">
              <w:t>06</w:t>
            </w:r>
            <w:r w:rsidRPr="00A91E05" w:rsidR="00C40106">
              <w:t>/</w:t>
            </w:r>
            <w:r w:rsidRPr="00A91E05" w:rsidR="001D18AD">
              <w:t>2021</w:t>
            </w:r>
            <w:r w:rsidRPr="00A91E05" w:rsidR="00017B45">
              <w:t xml:space="preserve">, </w:t>
            </w:r>
            <w:r w:rsidRPr="00A91E05">
              <w:t>11</w:t>
            </w:r>
            <w:r w:rsidRPr="00A91E05" w:rsidR="00675ED3">
              <w:t>:</w:t>
            </w:r>
            <w:r w:rsidRPr="00A91E05">
              <w:t>00</w:t>
            </w:r>
          </w:p>
        </w:tc>
      </w:tr>
      <w:tr w:rsidRPr="00A91E05" w:rsidR="007F5E0D" w:rsidTr="003D1E0E" w14:paraId="2C6B9972" w14:textId="77777777">
        <w:tc>
          <w:tcPr>
            <w:tcW w:w="3085" w:type="dxa"/>
          </w:tcPr>
          <w:p w:rsidR="00E72612" w:rsidP="00EF4A90" w:rsidRDefault="00E72612" w14:paraId="08EF2ECE" w14:textId="4FA7C1F8">
            <w:pPr>
              <w:overflowPunct/>
              <w:adjustRightInd/>
              <w:jc w:val="left"/>
              <w:textAlignment w:val="auto"/>
            </w:pPr>
            <w:r w:rsidRPr="0082636E">
              <w:rPr>
                <w:b/>
              </w:rPr>
              <w:t>Deadline for amendments</w:t>
            </w:r>
          </w:p>
          <w:p w:rsidRPr="00A91E05" w:rsidR="007F5E0D" w:rsidP="00EF4A90" w:rsidRDefault="007F5E0D" w14:paraId="3BF9D196" w14:textId="3BB424A9">
            <w:pPr>
              <w:overflowPunct/>
              <w:adjustRightInd/>
              <w:jc w:val="left"/>
              <w:textAlignment w:val="auto"/>
              <w:rPr>
                <w:szCs w:val="22"/>
              </w:rPr>
            </w:pPr>
            <w:r w:rsidRPr="00A91E05">
              <w:t>Contact</w:t>
            </w:r>
          </w:p>
        </w:tc>
        <w:tc>
          <w:tcPr>
            <w:tcW w:w="6204" w:type="dxa"/>
          </w:tcPr>
          <w:p w:rsidR="00E72612" w:rsidP="00EF4A90" w:rsidRDefault="00E72612" w14:paraId="4EF13C6A" w14:textId="4A6AC724">
            <w:pPr>
              <w:overflowPunct/>
              <w:adjustRightInd/>
              <w:jc w:val="left"/>
              <w:textAlignment w:val="auto"/>
            </w:pPr>
            <w:r>
              <w:rPr>
                <w:b/>
              </w:rPr>
              <w:t>21</w:t>
            </w:r>
            <w:r w:rsidRPr="0082636E">
              <w:rPr>
                <w:b/>
              </w:rPr>
              <w:t>/</w:t>
            </w:r>
            <w:r>
              <w:rPr>
                <w:b/>
              </w:rPr>
              <w:t>06</w:t>
            </w:r>
            <w:r w:rsidRPr="0082636E">
              <w:rPr>
                <w:b/>
              </w:rPr>
              <w:t>/</w:t>
            </w:r>
            <w:r>
              <w:rPr>
                <w:b/>
              </w:rPr>
              <w:t>2021</w:t>
            </w:r>
            <w:r w:rsidRPr="0082636E">
              <w:rPr>
                <w:b/>
              </w:rPr>
              <w:t xml:space="preserve">, </w:t>
            </w:r>
            <w:r>
              <w:rPr>
                <w:b/>
              </w:rPr>
              <w:t>11</w:t>
            </w:r>
            <w:r w:rsidRPr="0082636E">
              <w:rPr>
                <w:b/>
              </w:rPr>
              <w:t>:00</w:t>
            </w:r>
          </w:p>
          <w:p w:rsidRPr="002A068C" w:rsidR="007F5E0D" w:rsidP="00EF4A90" w:rsidRDefault="009C03F9" w14:paraId="79EA4BD1" w14:textId="365DFE4A">
            <w:pPr>
              <w:overflowPunct/>
              <w:adjustRightInd/>
              <w:jc w:val="left"/>
              <w:textAlignment w:val="auto"/>
              <w:rPr>
                <w:szCs w:val="22"/>
              </w:rPr>
            </w:pPr>
            <w:hyperlink w:history="1" r:id="rId13">
              <w:r w:rsidRPr="002A068C" w:rsidR="001D18AD">
                <w:rPr>
                  <w:rStyle w:val="Hyperlink"/>
                </w:rPr>
                <w:t>ten@eesc.europa.eu</w:t>
              </w:r>
            </w:hyperlink>
            <w:r w:rsidRPr="002A068C" w:rsidR="001D18AD">
              <w:t xml:space="preserve"> </w:t>
            </w:r>
          </w:p>
        </w:tc>
      </w:tr>
      <w:tr w:rsidRPr="00A91E05" w:rsidR="007F5E0D" w:rsidTr="003D1E0E" w14:paraId="327F7389" w14:textId="77777777">
        <w:tc>
          <w:tcPr>
            <w:tcW w:w="3085" w:type="dxa"/>
          </w:tcPr>
          <w:p w:rsidRPr="00A91E05" w:rsidR="007F5E0D" w:rsidP="00EF4A90" w:rsidRDefault="007F5E0D" w14:paraId="36EA8275" w14:textId="77777777">
            <w:pPr>
              <w:overflowPunct/>
              <w:adjustRightInd/>
              <w:jc w:val="left"/>
              <w:textAlignment w:val="auto"/>
              <w:rPr>
                <w:szCs w:val="22"/>
              </w:rPr>
            </w:pPr>
            <w:r w:rsidRPr="00A91E05">
              <w:t>Administrator</w:t>
            </w:r>
          </w:p>
        </w:tc>
        <w:tc>
          <w:tcPr>
            <w:tcW w:w="6204" w:type="dxa"/>
          </w:tcPr>
          <w:p w:rsidRPr="00A91E05" w:rsidR="007F5E0D" w:rsidP="00EF4A90" w:rsidRDefault="001D18AD" w14:paraId="5D9B8663" w14:textId="77777777">
            <w:pPr>
              <w:overflowPunct/>
              <w:adjustRightInd/>
              <w:jc w:val="left"/>
              <w:textAlignment w:val="auto"/>
              <w:rPr>
                <w:szCs w:val="22"/>
              </w:rPr>
            </w:pPr>
            <w:r w:rsidRPr="00A91E05">
              <w:t xml:space="preserve">Erika </w:t>
            </w:r>
            <w:r w:rsidRPr="00A91E05" w:rsidR="00C303E5">
              <w:t>PAULINOVA</w:t>
            </w:r>
          </w:p>
        </w:tc>
      </w:tr>
      <w:tr w:rsidRPr="00A91E05" w:rsidR="007F5E0D" w:rsidTr="003D1E0E" w14:paraId="092FDB6E" w14:textId="77777777">
        <w:tc>
          <w:tcPr>
            <w:tcW w:w="3085" w:type="dxa"/>
          </w:tcPr>
          <w:p w:rsidRPr="00A91E05" w:rsidR="007F5E0D" w:rsidP="00EF4A90" w:rsidRDefault="007F5E0D" w14:paraId="5E801400" w14:textId="77777777">
            <w:pPr>
              <w:overflowPunct/>
              <w:adjustRightInd/>
              <w:jc w:val="left"/>
              <w:textAlignment w:val="auto"/>
              <w:rPr>
                <w:szCs w:val="22"/>
              </w:rPr>
            </w:pPr>
            <w:r w:rsidRPr="00A91E05">
              <w:t>Document date</w:t>
            </w:r>
          </w:p>
        </w:tc>
        <w:tc>
          <w:tcPr>
            <w:tcW w:w="6204" w:type="dxa"/>
          </w:tcPr>
          <w:p w:rsidRPr="00A91E05" w:rsidR="007F5E0D" w:rsidP="00EF4A90" w:rsidRDefault="00006209" w14:paraId="728C3DE8" w14:textId="0894BEC6">
            <w:pPr>
              <w:overflowPunct/>
              <w:adjustRightInd/>
              <w:jc w:val="left"/>
              <w:textAlignment w:val="auto"/>
              <w:rPr>
                <w:szCs w:val="22"/>
              </w:rPr>
            </w:pPr>
            <w:r>
              <w:t>16</w:t>
            </w:r>
            <w:r w:rsidRPr="00A91E05" w:rsidR="00C40106">
              <w:t>/</w:t>
            </w:r>
            <w:r w:rsidRPr="00A91E05" w:rsidR="006B40A0">
              <w:t>06</w:t>
            </w:r>
            <w:r w:rsidRPr="00A91E05" w:rsidR="00017B45">
              <w:t>/</w:t>
            </w:r>
            <w:r w:rsidRPr="00A91E05" w:rsidR="001D18AD">
              <w:t>2021</w:t>
            </w:r>
          </w:p>
        </w:tc>
      </w:tr>
    </w:tbl>
    <w:p w:rsidRPr="00A91E05" w:rsidR="00704FBB" w:rsidP="00EF4A90" w:rsidRDefault="007F5E0D" w14:paraId="0C01BF0A" w14:textId="77777777">
      <w:pPr>
        <w:overflowPunct/>
        <w:adjustRightInd/>
        <w:jc w:val="center"/>
        <w:textAlignment w:val="auto"/>
      </w:pPr>
      <w:r w:rsidRPr="00A91E05">
        <w:t xml:space="preserve">Rapporteur: </w:t>
      </w:r>
      <w:r w:rsidRPr="00A91E05" w:rsidR="001D18AD">
        <w:rPr>
          <w:b/>
        </w:rPr>
        <w:t>Stefan BACK</w:t>
      </w:r>
    </w:p>
    <w:p w:rsidRPr="00A91E05" w:rsidR="00704FBB" w:rsidP="00EF4A90" w:rsidRDefault="00704FBB" w14:paraId="3A0A9F53" w14:textId="77777777">
      <w:pPr>
        <w:overflowPunct/>
        <w:adjustRightInd/>
        <w:jc w:val="left"/>
        <w:textAlignment w:val="auto"/>
      </w:pPr>
    </w:p>
    <w:p w:rsidRPr="00A91E05" w:rsidR="00646AC2" w:rsidP="00EF4A90" w:rsidRDefault="00646AC2" w14:paraId="448F11F0" w14:textId="77777777">
      <w:pPr>
        <w:overflowPunct/>
        <w:adjustRightInd/>
        <w:textAlignment w:val="auto"/>
      </w:pPr>
    </w:p>
    <w:p w:rsidRPr="00A91E05" w:rsidR="00C078A8" w:rsidP="00EF4A90" w:rsidRDefault="00C078A8" w14:paraId="3FAFF569" w14:textId="77777777">
      <w:pPr>
        <w:overflowPunct/>
        <w:adjustRightInd/>
        <w:textAlignment w:val="auto"/>
        <w:sectPr w:rsidRPr="00A91E05" w:rsidR="00C078A8" w:rsidSect="00006209">
          <w:footerReference w:type="default" r:id="rId14"/>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085"/>
        <w:gridCol w:w="6204"/>
      </w:tblGrid>
      <w:tr w:rsidRPr="00A91E05" w:rsidR="0011656A" w:rsidTr="003D1E0E" w14:paraId="4B8FA26B" w14:textId="77777777">
        <w:tc>
          <w:tcPr>
            <w:tcW w:w="3085" w:type="dxa"/>
          </w:tcPr>
          <w:p w:rsidRPr="00A91E05" w:rsidR="0011656A" w:rsidP="00EF4A90" w:rsidRDefault="0011656A" w14:paraId="5C669316" w14:textId="77777777">
            <w:pPr>
              <w:overflowPunct/>
              <w:adjustRightInd/>
              <w:textAlignment w:val="auto"/>
              <w:rPr>
                <w:szCs w:val="22"/>
              </w:rPr>
            </w:pPr>
            <w:r w:rsidRPr="00A91E05">
              <w:lastRenderedPageBreak/>
              <w:t>Study Group</w:t>
            </w:r>
          </w:p>
        </w:tc>
        <w:tc>
          <w:tcPr>
            <w:tcW w:w="6204" w:type="dxa"/>
          </w:tcPr>
          <w:p w:rsidRPr="00A91E05" w:rsidR="0011656A" w:rsidP="00EF4A90" w:rsidRDefault="00BE4584" w14:paraId="662599F1" w14:textId="77777777">
            <w:pPr>
              <w:overflowPunct/>
              <w:adjustRightInd/>
              <w:textAlignment w:val="auto"/>
              <w:rPr>
                <w:szCs w:val="22"/>
              </w:rPr>
            </w:pPr>
            <w:r w:rsidRPr="00A91E05">
              <w:t>Intermodal transport and multimodal logistics – making modes complementary in greening transport</w:t>
            </w:r>
          </w:p>
        </w:tc>
      </w:tr>
      <w:tr w:rsidRPr="00A91E05" w:rsidR="00033913" w:rsidTr="003D1E0E" w14:paraId="25B9352B" w14:textId="77777777">
        <w:tc>
          <w:tcPr>
            <w:tcW w:w="3085" w:type="dxa"/>
          </w:tcPr>
          <w:p w:rsidRPr="00A91E05" w:rsidR="00033913" w:rsidP="00EF4A90" w:rsidRDefault="00033913" w14:paraId="6056C3FA" w14:textId="77777777">
            <w:pPr>
              <w:overflowPunct/>
              <w:adjustRightInd/>
              <w:textAlignment w:val="auto"/>
            </w:pPr>
          </w:p>
        </w:tc>
        <w:tc>
          <w:tcPr>
            <w:tcW w:w="6204" w:type="dxa"/>
          </w:tcPr>
          <w:p w:rsidRPr="00A91E05" w:rsidR="00033913" w:rsidP="00EF4A90" w:rsidRDefault="00033913" w14:paraId="7BA9373E" w14:textId="77777777">
            <w:pPr>
              <w:overflowPunct/>
              <w:adjustRightInd/>
              <w:jc w:val="left"/>
              <w:textAlignment w:val="auto"/>
            </w:pPr>
          </w:p>
        </w:tc>
      </w:tr>
      <w:tr w:rsidRPr="00A91E05" w:rsidR="0011656A" w:rsidTr="003D1E0E" w14:paraId="053E7F35" w14:textId="77777777">
        <w:tc>
          <w:tcPr>
            <w:tcW w:w="3085" w:type="dxa"/>
          </w:tcPr>
          <w:p w:rsidRPr="00A91E05" w:rsidR="0011656A" w:rsidP="00EF4A90" w:rsidRDefault="0011656A" w14:paraId="4D397EF9" w14:textId="77777777">
            <w:pPr>
              <w:overflowPunct/>
              <w:adjustRightInd/>
              <w:textAlignment w:val="auto"/>
              <w:rPr>
                <w:szCs w:val="22"/>
              </w:rPr>
            </w:pPr>
            <w:r w:rsidRPr="00A91E05">
              <w:t>President</w:t>
            </w:r>
          </w:p>
        </w:tc>
        <w:tc>
          <w:tcPr>
            <w:tcW w:w="6204" w:type="dxa"/>
          </w:tcPr>
          <w:p w:rsidRPr="00A91E05" w:rsidR="0011656A" w:rsidP="00EF4A90" w:rsidRDefault="003267F5" w14:paraId="31C8F3D2" w14:textId="77777777">
            <w:pPr>
              <w:overflowPunct/>
              <w:adjustRightInd/>
              <w:jc w:val="left"/>
              <w:textAlignment w:val="auto"/>
              <w:rPr>
                <w:szCs w:val="22"/>
              </w:rPr>
            </w:pPr>
            <w:r w:rsidRPr="00A91E05">
              <w:t>Christophe QUAREZ (FR-II)</w:t>
            </w:r>
          </w:p>
        </w:tc>
      </w:tr>
      <w:tr w:rsidRPr="00A91E05" w:rsidR="0011656A" w:rsidTr="003D1E0E" w14:paraId="25169B17" w14:textId="77777777">
        <w:tc>
          <w:tcPr>
            <w:tcW w:w="3085" w:type="dxa"/>
          </w:tcPr>
          <w:p w:rsidRPr="00A91E05" w:rsidR="0011656A" w:rsidP="00EF4A90" w:rsidRDefault="0011656A" w14:paraId="49A2C568" w14:textId="77777777">
            <w:pPr>
              <w:overflowPunct/>
              <w:adjustRightInd/>
              <w:textAlignment w:val="auto"/>
              <w:rPr>
                <w:szCs w:val="22"/>
              </w:rPr>
            </w:pPr>
            <w:r w:rsidRPr="00A91E05">
              <w:t>Rapporteur</w:t>
            </w:r>
          </w:p>
        </w:tc>
        <w:tc>
          <w:tcPr>
            <w:tcW w:w="6204" w:type="dxa"/>
          </w:tcPr>
          <w:p w:rsidRPr="00A91E05" w:rsidR="0011656A" w:rsidP="00EF4A90" w:rsidRDefault="00BE4584" w14:paraId="047C069E" w14:textId="77777777">
            <w:pPr>
              <w:overflowPunct/>
              <w:adjustRightInd/>
              <w:jc w:val="left"/>
              <w:textAlignment w:val="auto"/>
              <w:rPr>
                <w:szCs w:val="22"/>
              </w:rPr>
            </w:pPr>
            <w:r w:rsidRPr="00A91E05">
              <w:t>Stefan BACK (SE-I)</w:t>
            </w:r>
          </w:p>
        </w:tc>
      </w:tr>
      <w:tr w:rsidRPr="00A91E05" w:rsidR="008C3049" w:rsidTr="003D1E0E" w14:paraId="0B741708" w14:textId="77777777">
        <w:tc>
          <w:tcPr>
            <w:tcW w:w="3085" w:type="dxa"/>
          </w:tcPr>
          <w:p w:rsidRPr="00A91E05" w:rsidR="008C3049" w:rsidP="00EF4A90" w:rsidRDefault="008C3049" w14:paraId="6F4883F7" w14:textId="77777777">
            <w:pPr>
              <w:overflowPunct/>
              <w:adjustRightInd/>
              <w:textAlignment w:val="auto"/>
            </w:pPr>
          </w:p>
        </w:tc>
        <w:tc>
          <w:tcPr>
            <w:tcW w:w="6204" w:type="dxa"/>
          </w:tcPr>
          <w:p w:rsidRPr="00A91E05" w:rsidR="008C3049" w:rsidP="00EF4A90" w:rsidRDefault="008C3049" w14:paraId="4BFB86ED" w14:textId="77777777">
            <w:pPr>
              <w:overflowPunct/>
              <w:adjustRightInd/>
              <w:jc w:val="left"/>
              <w:textAlignment w:val="auto"/>
              <w:rPr>
                <w:szCs w:val="22"/>
              </w:rPr>
            </w:pPr>
          </w:p>
        </w:tc>
      </w:tr>
      <w:tr w:rsidRPr="00A91E05" w:rsidR="0011656A" w:rsidTr="003D1E0E" w14:paraId="4DA1EFA8" w14:textId="77777777">
        <w:tc>
          <w:tcPr>
            <w:tcW w:w="3085" w:type="dxa"/>
          </w:tcPr>
          <w:p w:rsidRPr="00A91E05" w:rsidR="0011656A" w:rsidP="00EF4A90" w:rsidRDefault="0011656A" w14:paraId="7FA434B7" w14:textId="77777777">
            <w:pPr>
              <w:overflowPunct/>
              <w:adjustRightInd/>
              <w:textAlignment w:val="auto"/>
              <w:rPr>
                <w:szCs w:val="22"/>
              </w:rPr>
            </w:pPr>
            <w:r w:rsidRPr="00A91E05">
              <w:t>Members</w:t>
            </w:r>
          </w:p>
        </w:tc>
        <w:tc>
          <w:tcPr>
            <w:tcW w:w="6204" w:type="dxa"/>
          </w:tcPr>
          <w:p w:rsidRPr="00A91E05" w:rsidR="003267F5" w:rsidP="00EF4A90" w:rsidRDefault="003267F5" w14:paraId="59875421" w14:textId="77777777">
            <w:pPr>
              <w:overflowPunct/>
              <w:adjustRightInd/>
              <w:jc w:val="left"/>
              <w:textAlignment w:val="auto"/>
            </w:pPr>
            <w:r w:rsidRPr="00A91E05">
              <w:t>John COMER (IE-III)</w:t>
            </w:r>
          </w:p>
          <w:p w:rsidRPr="00A91E05" w:rsidR="003267F5" w:rsidP="00EF4A90" w:rsidRDefault="003267F5" w14:paraId="37B3555F" w14:textId="77777777">
            <w:pPr>
              <w:overflowPunct/>
              <w:adjustRightInd/>
              <w:jc w:val="left"/>
              <w:textAlignment w:val="auto"/>
            </w:pPr>
            <w:r w:rsidRPr="00A91E05">
              <w:t>Chiara CORAZZA (FR-III)</w:t>
            </w:r>
          </w:p>
          <w:p w:rsidRPr="003D1E0E" w:rsidR="003267F5" w:rsidP="00EF4A90" w:rsidRDefault="003267F5" w14:paraId="75DF001D" w14:textId="77777777">
            <w:pPr>
              <w:overflowPunct/>
              <w:adjustRightInd/>
              <w:jc w:val="left"/>
              <w:textAlignment w:val="auto"/>
              <w:rPr>
                <w:lang w:val="sv-SE"/>
              </w:rPr>
            </w:pPr>
            <w:r w:rsidRPr="003D1E0E">
              <w:rPr>
                <w:lang w:val="sv-SE"/>
              </w:rPr>
              <w:t>Miroslav HAJNOŠ (SK-II)</w:t>
            </w:r>
          </w:p>
          <w:p w:rsidRPr="003D1E0E" w:rsidR="003267F5" w:rsidP="00EF4A90" w:rsidRDefault="003267F5" w14:paraId="07145A3D" w14:textId="77777777">
            <w:pPr>
              <w:overflowPunct/>
              <w:adjustRightInd/>
              <w:jc w:val="left"/>
              <w:textAlignment w:val="auto"/>
              <w:rPr>
                <w:lang w:val="sv-SE"/>
              </w:rPr>
            </w:pPr>
            <w:r w:rsidRPr="003D1E0E">
              <w:rPr>
                <w:lang w:val="sv-SE"/>
              </w:rPr>
              <w:t>Thomas KATTNIG (AT-II)</w:t>
            </w:r>
          </w:p>
          <w:p w:rsidRPr="003D1E0E" w:rsidR="003267F5" w:rsidP="00EF4A90" w:rsidRDefault="003267F5" w14:paraId="32D699D2" w14:textId="77777777">
            <w:pPr>
              <w:overflowPunct/>
              <w:adjustRightInd/>
              <w:jc w:val="left"/>
              <w:textAlignment w:val="auto"/>
              <w:rPr>
                <w:lang w:val="sv-SE"/>
              </w:rPr>
            </w:pPr>
            <w:r w:rsidRPr="003D1E0E">
              <w:rPr>
                <w:lang w:val="sv-SE"/>
              </w:rPr>
              <w:t>Ioannis KOLYVAS (EL-III)</w:t>
            </w:r>
          </w:p>
          <w:p w:rsidRPr="003D1E0E" w:rsidR="003267F5" w:rsidP="00EF4A90" w:rsidRDefault="003267F5" w14:paraId="6DD7E7F3" w14:textId="77777777">
            <w:pPr>
              <w:overflowPunct/>
              <w:adjustRightInd/>
              <w:jc w:val="left"/>
              <w:textAlignment w:val="auto"/>
              <w:rPr>
                <w:lang w:val="sv-SE"/>
              </w:rPr>
            </w:pPr>
            <w:r w:rsidRPr="003D1E0E">
              <w:rPr>
                <w:lang w:val="sv-SE"/>
              </w:rPr>
              <w:t>Davor MAJETIĆ (HR-I)</w:t>
            </w:r>
          </w:p>
          <w:p w:rsidRPr="00A91E05" w:rsidR="0011656A" w:rsidP="00EF4A90" w:rsidRDefault="003267F5" w14:paraId="0EEA4D3E" w14:textId="77777777">
            <w:pPr>
              <w:overflowPunct/>
              <w:adjustRightInd/>
              <w:jc w:val="left"/>
              <w:textAlignment w:val="auto"/>
              <w:rPr>
                <w:szCs w:val="22"/>
              </w:rPr>
            </w:pPr>
            <w:r w:rsidRPr="00A91E05">
              <w:t xml:space="preserve">Marinel Dănuț </w:t>
            </w:r>
            <w:r w:rsidRPr="00A91E05" w:rsidR="00B01A5E">
              <w:t xml:space="preserve">MUREŞAN </w:t>
            </w:r>
            <w:r w:rsidRPr="00A91E05">
              <w:t>(RO-I – Rule 66 - Ionel BORS)</w:t>
            </w:r>
          </w:p>
        </w:tc>
      </w:tr>
      <w:tr w:rsidRPr="00A91E05" w:rsidR="00033913" w:rsidTr="003D1E0E" w14:paraId="35185ABB" w14:textId="77777777">
        <w:tc>
          <w:tcPr>
            <w:tcW w:w="3085" w:type="dxa"/>
          </w:tcPr>
          <w:p w:rsidRPr="00A91E05" w:rsidR="00033913" w:rsidP="00EF4A90" w:rsidRDefault="00033913" w14:paraId="5873D958" w14:textId="77777777">
            <w:pPr>
              <w:overflowPunct/>
              <w:adjustRightInd/>
              <w:textAlignment w:val="auto"/>
            </w:pPr>
          </w:p>
        </w:tc>
        <w:tc>
          <w:tcPr>
            <w:tcW w:w="6204" w:type="dxa"/>
          </w:tcPr>
          <w:p w:rsidRPr="00A91E05" w:rsidR="00033913" w:rsidP="00EF4A90" w:rsidRDefault="00033913" w14:paraId="6F65F296" w14:textId="77777777">
            <w:pPr>
              <w:overflowPunct/>
              <w:adjustRightInd/>
              <w:jc w:val="left"/>
              <w:textAlignment w:val="auto"/>
            </w:pPr>
          </w:p>
        </w:tc>
      </w:tr>
      <w:tr w:rsidRPr="00A91E05" w:rsidR="0011656A" w:rsidTr="003D1E0E" w14:paraId="6AEF6BE4" w14:textId="77777777">
        <w:tc>
          <w:tcPr>
            <w:tcW w:w="3085" w:type="dxa"/>
          </w:tcPr>
          <w:p w:rsidRPr="00A91E05" w:rsidR="0011656A" w:rsidP="00EF4A90" w:rsidRDefault="0090053A" w14:paraId="025D83B1" w14:textId="77777777">
            <w:pPr>
              <w:overflowPunct/>
              <w:adjustRightInd/>
              <w:textAlignment w:val="auto"/>
              <w:rPr>
                <w:szCs w:val="22"/>
              </w:rPr>
            </w:pPr>
            <w:r w:rsidRPr="00A91E05">
              <w:t>Expert</w:t>
            </w:r>
          </w:p>
        </w:tc>
        <w:tc>
          <w:tcPr>
            <w:tcW w:w="6204" w:type="dxa"/>
          </w:tcPr>
          <w:p w:rsidRPr="00A91E05" w:rsidR="0090053A" w:rsidP="00EF4A90" w:rsidRDefault="00BE4584" w14:paraId="5891C2EA" w14:textId="77777777">
            <w:pPr>
              <w:overflowPunct/>
              <w:adjustRightInd/>
              <w:jc w:val="left"/>
              <w:textAlignment w:val="auto"/>
              <w:rPr>
                <w:szCs w:val="22"/>
              </w:rPr>
            </w:pPr>
            <w:r w:rsidRPr="00A91E05">
              <w:t>Per BOQVIST (for the rapporteur)</w:t>
            </w:r>
          </w:p>
        </w:tc>
      </w:tr>
    </w:tbl>
    <w:p w:rsidRPr="00A91E05" w:rsidR="0012220C" w:rsidP="00EF4A90" w:rsidRDefault="0012220C" w14:paraId="7E0AF559" w14:textId="77777777">
      <w:pPr>
        <w:overflowPunct/>
        <w:adjustRightInd/>
        <w:textAlignment w:val="auto"/>
      </w:pPr>
    </w:p>
    <w:tbl>
      <w:tblPr>
        <w:tblW w:w="0" w:type="auto"/>
        <w:tblLook w:val="04A0" w:firstRow="1" w:lastRow="0" w:firstColumn="1" w:lastColumn="0" w:noHBand="0" w:noVBand="1"/>
      </w:tblPr>
      <w:tblGrid>
        <w:gridCol w:w="3085"/>
        <w:gridCol w:w="6204"/>
      </w:tblGrid>
      <w:tr w:rsidRPr="00A91E05" w:rsidR="002C1D46" w:rsidTr="003D1E0E" w14:paraId="70D57F8D" w14:textId="77777777">
        <w:trPr>
          <w:trHeight w:val="250"/>
        </w:trPr>
        <w:tc>
          <w:tcPr>
            <w:tcW w:w="3085" w:type="dxa"/>
          </w:tcPr>
          <w:p w:rsidRPr="00A91E05" w:rsidR="002C1D46" w:rsidP="00EF4A90" w:rsidRDefault="002C1D46" w14:paraId="05734A5A" w14:textId="77777777">
            <w:pPr>
              <w:overflowPunct/>
              <w:adjustRightInd/>
              <w:jc w:val="left"/>
              <w:textAlignment w:val="auto"/>
            </w:pPr>
            <w:r w:rsidRPr="00A91E05">
              <w:t>Plenary Assembly decision</w:t>
            </w:r>
          </w:p>
        </w:tc>
        <w:tc>
          <w:tcPr>
            <w:tcW w:w="6204" w:type="dxa"/>
          </w:tcPr>
          <w:p w:rsidRPr="00A91E05" w:rsidR="002C1D46" w:rsidP="00EF4A90" w:rsidRDefault="00C303E5" w14:paraId="32F80B47" w14:textId="77777777">
            <w:pPr>
              <w:overflowPunct/>
              <w:adjustRightInd/>
              <w:jc w:val="left"/>
              <w:textAlignment w:val="auto"/>
            </w:pPr>
            <w:r w:rsidRPr="00A91E05">
              <w:t>25</w:t>
            </w:r>
            <w:r w:rsidRPr="00A91E05" w:rsidR="002C1D46">
              <w:t>/</w:t>
            </w:r>
            <w:r w:rsidRPr="00A91E05">
              <w:t>03</w:t>
            </w:r>
            <w:r w:rsidRPr="00A91E05" w:rsidR="002C1D46">
              <w:t>/</w:t>
            </w:r>
            <w:r w:rsidRPr="00A91E05">
              <w:t>2021</w:t>
            </w:r>
          </w:p>
        </w:tc>
      </w:tr>
      <w:tr w:rsidRPr="00A91E05" w:rsidR="00243E36" w:rsidTr="003D1E0E" w14:paraId="25E0528B" w14:textId="77777777">
        <w:tc>
          <w:tcPr>
            <w:tcW w:w="3085" w:type="dxa"/>
          </w:tcPr>
          <w:p w:rsidRPr="00A91E05" w:rsidR="00243E36" w:rsidP="00EF4A90" w:rsidRDefault="00243E36" w14:paraId="498B3F7B" w14:textId="77777777">
            <w:pPr>
              <w:overflowPunct/>
              <w:adjustRightInd/>
              <w:jc w:val="left"/>
              <w:textAlignment w:val="auto"/>
              <w:rPr>
                <w:szCs w:val="22"/>
              </w:rPr>
            </w:pPr>
            <w:r w:rsidRPr="00A91E05">
              <w:t>Legal basis</w:t>
            </w:r>
          </w:p>
        </w:tc>
        <w:tc>
          <w:tcPr>
            <w:tcW w:w="6204" w:type="dxa"/>
          </w:tcPr>
          <w:p w:rsidRPr="00A91E05" w:rsidR="00243E36" w:rsidP="00EF4A90" w:rsidRDefault="00243E36" w14:paraId="7E0F23E0" w14:textId="77777777">
            <w:pPr>
              <w:overflowPunct/>
              <w:adjustRightInd/>
              <w:jc w:val="left"/>
              <w:textAlignment w:val="auto"/>
              <w:rPr>
                <w:szCs w:val="22"/>
              </w:rPr>
            </w:pPr>
            <w:r w:rsidRPr="00A91E05">
              <w:t xml:space="preserve">Rule </w:t>
            </w:r>
            <w:r w:rsidRPr="00A91E05" w:rsidR="00F7506E">
              <w:t>3</w:t>
            </w:r>
            <w:r w:rsidRPr="00A91E05">
              <w:t>2(2) of the Rules of Procedure</w:t>
            </w:r>
          </w:p>
        </w:tc>
      </w:tr>
      <w:tr w:rsidRPr="00A91E05" w:rsidR="00243E36" w:rsidTr="003D1E0E" w14:paraId="44E3F175" w14:textId="77777777">
        <w:tc>
          <w:tcPr>
            <w:tcW w:w="3085" w:type="dxa"/>
          </w:tcPr>
          <w:p w:rsidRPr="00A91E05" w:rsidR="00243E36" w:rsidP="00EF4A90" w:rsidRDefault="00243E36" w14:paraId="29CB763D" w14:textId="77777777">
            <w:pPr>
              <w:overflowPunct/>
              <w:adjustRightInd/>
              <w:jc w:val="left"/>
              <w:textAlignment w:val="auto"/>
              <w:rPr>
                <w:szCs w:val="22"/>
              </w:rPr>
            </w:pPr>
          </w:p>
        </w:tc>
        <w:tc>
          <w:tcPr>
            <w:tcW w:w="6204" w:type="dxa"/>
          </w:tcPr>
          <w:p w:rsidRPr="00A91E05" w:rsidR="00243E36" w:rsidP="00EF4A90" w:rsidRDefault="00243E36" w14:paraId="7D83D088" w14:textId="77777777">
            <w:pPr>
              <w:overflowPunct/>
              <w:adjustRightInd/>
              <w:jc w:val="left"/>
              <w:textAlignment w:val="auto"/>
              <w:rPr>
                <w:szCs w:val="22"/>
              </w:rPr>
            </w:pPr>
            <w:r w:rsidRPr="00A91E05">
              <w:t>Own-initiative opinion</w:t>
            </w:r>
          </w:p>
        </w:tc>
      </w:tr>
      <w:tr w:rsidRPr="00A91E05" w:rsidR="00BA1290" w:rsidTr="003D1E0E" w14:paraId="1EA49D22" w14:textId="77777777">
        <w:tc>
          <w:tcPr>
            <w:tcW w:w="3085" w:type="dxa"/>
          </w:tcPr>
          <w:p w:rsidRPr="00A91E05" w:rsidR="00BA1290" w:rsidP="00EF4A90" w:rsidRDefault="00BA1290" w14:paraId="77B2FFAD" w14:textId="77777777">
            <w:pPr>
              <w:overflowPunct/>
              <w:adjustRightInd/>
              <w:jc w:val="left"/>
              <w:textAlignment w:val="auto"/>
            </w:pPr>
          </w:p>
        </w:tc>
        <w:tc>
          <w:tcPr>
            <w:tcW w:w="6204" w:type="dxa"/>
          </w:tcPr>
          <w:p w:rsidRPr="00A91E05" w:rsidR="00BA1290" w:rsidP="00EF4A90" w:rsidRDefault="00BA1290" w14:paraId="29077873" w14:textId="77777777">
            <w:pPr>
              <w:overflowPunct/>
              <w:adjustRightInd/>
              <w:jc w:val="left"/>
              <w:textAlignment w:val="auto"/>
            </w:pPr>
          </w:p>
        </w:tc>
      </w:tr>
      <w:tr w:rsidRPr="00A91E05" w:rsidR="00DF5B64" w:rsidTr="003D1E0E" w14:paraId="42AD2314" w14:textId="77777777">
        <w:tc>
          <w:tcPr>
            <w:tcW w:w="3085" w:type="dxa"/>
          </w:tcPr>
          <w:p w:rsidRPr="00A91E05" w:rsidR="00DF5B64" w:rsidP="00EF4A90" w:rsidRDefault="00AD4B4F" w14:paraId="2C2CF486" w14:textId="77777777">
            <w:pPr>
              <w:overflowPunct/>
              <w:adjustRightInd/>
              <w:jc w:val="left"/>
              <w:textAlignment w:val="auto"/>
              <w:rPr>
                <w:szCs w:val="22"/>
              </w:rPr>
            </w:pPr>
            <w:r w:rsidRPr="00A91E05">
              <w:t>Section responsible</w:t>
            </w:r>
          </w:p>
        </w:tc>
        <w:tc>
          <w:tcPr>
            <w:tcW w:w="6204" w:type="dxa"/>
          </w:tcPr>
          <w:p w:rsidRPr="00A91E05" w:rsidR="00DF5B64" w:rsidP="00EF4A90" w:rsidRDefault="00BE4584" w14:paraId="53AD83FB" w14:textId="77777777">
            <w:pPr>
              <w:overflowPunct/>
              <w:adjustRightInd/>
              <w:jc w:val="left"/>
              <w:textAlignment w:val="auto"/>
              <w:rPr>
                <w:szCs w:val="22"/>
              </w:rPr>
            </w:pPr>
            <w:r w:rsidRPr="00A91E05">
              <w:t>Transport, Energy, Infrastructure and the Information Society</w:t>
            </w:r>
          </w:p>
        </w:tc>
      </w:tr>
      <w:tr w:rsidRPr="00A91E05" w:rsidR="00A156E6" w:rsidTr="003D1E0E" w14:paraId="4C393AB2" w14:textId="77777777">
        <w:tc>
          <w:tcPr>
            <w:tcW w:w="3085" w:type="dxa"/>
          </w:tcPr>
          <w:p w:rsidRPr="00A91E05" w:rsidR="00A156E6" w:rsidP="00EF4A90" w:rsidRDefault="00A156E6" w14:paraId="07278984" w14:textId="77777777">
            <w:pPr>
              <w:overflowPunct/>
              <w:adjustRightInd/>
              <w:jc w:val="left"/>
              <w:textAlignment w:val="auto"/>
              <w:rPr>
                <w:szCs w:val="22"/>
              </w:rPr>
            </w:pPr>
            <w:r w:rsidRPr="00A91E05">
              <w:t>Adopted in section</w:t>
            </w:r>
          </w:p>
        </w:tc>
        <w:tc>
          <w:tcPr>
            <w:tcW w:w="6204" w:type="dxa"/>
          </w:tcPr>
          <w:p w:rsidRPr="00A91E05" w:rsidR="00A156E6" w:rsidP="00EF4A90" w:rsidRDefault="003439AB" w14:paraId="12D338DD" w14:textId="77777777">
            <w:pPr>
              <w:overflowPunct/>
              <w:adjustRightInd/>
              <w:jc w:val="left"/>
              <w:textAlignment w:val="auto"/>
              <w:rPr>
                <w:szCs w:val="22"/>
              </w:rPr>
            </w:pPr>
            <w:r w:rsidRPr="00A91E05">
              <w:t>DD/MM/YYYY</w:t>
            </w:r>
          </w:p>
        </w:tc>
      </w:tr>
      <w:tr w:rsidRPr="00A91E05" w:rsidR="00A156E6" w:rsidTr="003D1E0E" w14:paraId="7503323B" w14:textId="77777777">
        <w:tc>
          <w:tcPr>
            <w:tcW w:w="3085" w:type="dxa"/>
          </w:tcPr>
          <w:p w:rsidRPr="00A91E05" w:rsidR="00A156E6" w:rsidP="00EF4A90" w:rsidRDefault="00A156E6" w14:paraId="4A8D9249" w14:textId="77777777">
            <w:pPr>
              <w:overflowPunct/>
              <w:adjustRightInd/>
              <w:jc w:val="left"/>
              <w:textAlignment w:val="auto"/>
              <w:rPr>
                <w:szCs w:val="22"/>
              </w:rPr>
            </w:pPr>
            <w:r w:rsidRPr="00A91E05">
              <w:t>Adopted at plenary</w:t>
            </w:r>
          </w:p>
        </w:tc>
        <w:tc>
          <w:tcPr>
            <w:tcW w:w="6204" w:type="dxa"/>
          </w:tcPr>
          <w:p w:rsidRPr="00A91E05" w:rsidR="00A156E6" w:rsidP="00EF4A90" w:rsidRDefault="003439AB" w14:paraId="3431C945" w14:textId="77777777">
            <w:pPr>
              <w:overflowPunct/>
              <w:adjustRightInd/>
              <w:jc w:val="left"/>
              <w:textAlignment w:val="auto"/>
              <w:rPr>
                <w:szCs w:val="22"/>
              </w:rPr>
            </w:pPr>
            <w:r w:rsidRPr="00A91E05">
              <w:t>DD/MM/YYYY</w:t>
            </w:r>
          </w:p>
        </w:tc>
      </w:tr>
      <w:tr w:rsidRPr="00A91E05" w:rsidR="00BA1290" w:rsidTr="003D1E0E" w14:paraId="4DFA0F11" w14:textId="77777777">
        <w:tc>
          <w:tcPr>
            <w:tcW w:w="3085" w:type="dxa"/>
          </w:tcPr>
          <w:p w:rsidRPr="00A91E05" w:rsidR="00BA1290" w:rsidP="00EF4A90" w:rsidRDefault="00BA1290" w14:paraId="16AAFD4B" w14:textId="77777777">
            <w:pPr>
              <w:overflowPunct/>
              <w:adjustRightInd/>
              <w:jc w:val="left"/>
              <w:textAlignment w:val="auto"/>
              <w:rPr>
                <w:szCs w:val="22"/>
              </w:rPr>
            </w:pPr>
            <w:r w:rsidRPr="00A91E05">
              <w:t>Plenary session No</w:t>
            </w:r>
          </w:p>
        </w:tc>
        <w:tc>
          <w:tcPr>
            <w:tcW w:w="6204" w:type="dxa"/>
          </w:tcPr>
          <w:p w:rsidRPr="00A91E05" w:rsidR="00BA1290" w:rsidP="00EF4A90" w:rsidRDefault="00BA1290" w14:paraId="38C3E377" w14:textId="77777777">
            <w:pPr>
              <w:overflowPunct/>
              <w:adjustRightInd/>
              <w:jc w:val="left"/>
              <w:textAlignment w:val="auto"/>
              <w:rPr>
                <w:szCs w:val="22"/>
              </w:rPr>
            </w:pPr>
            <w:r w:rsidRPr="00A91E05">
              <w:t>…</w:t>
            </w:r>
          </w:p>
        </w:tc>
      </w:tr>
      <w:tr w:rsidRPr="00A91E05" w:rsidR="00A156E6" w:rsidTr="003D1E0E" w14:paraId="0E1FDBB5" w14:textId="77777777">
        <w:tc>
          <w:tcPr>
            <w:tcW w:w="3085" w:type="dxa"/>
          </w:tcPr>
          <w:p w:rsidRPr="00A91E05" w:rsidR="00D423D4" w:rsidP="00EF4A90" w:rsidRDefault="0043024C" w14:paraId="0D20D9EB" w14:textId="77777777">
            <w:pPr>
              <w:overflowPunct/>
              <w:adjustRightInd/>
              <w:jc w:val="left"/>
            </w:pPr>
            <w:r w:rsidRPr="00A91E05">
              <w:t xml:space="preserve">Outcome of </w:t>
            </w:r>
            <w:r w:rsidRPr="00A91E05" w:rsidR="0029549C">
              <w:t>vote</w:t>
            </w:r>
            <w:r w:rsidRPr="00A91E05" w:rsidR="00093DE0">
              <w:br/>
            </w:r>
            <w:r w:rsidRPr="00A91E05">
              <w:t>(</w:t>
            </w:r>
            <w:r w:rsidRPr="00A91E05" w:rsidR="0029549C">
              <w:t>for</w:t>
            </w:r>
            <w:r w:rsidRPr="00A91E05">
              <w:t>/against/abstentions)</w:t>
            </w:r>
          </w:p>
        </w:tc>
        <w:tc>
          <w:tcPr>
            <w:tcW w:w="6204" w:type="dxa"/>
            <w:vAlign w:val="bottom"/>
          </w:tcPr>
          <w:p w:rsidRPr="00A91E05" w:rsidR="00A156E6" w:rsidP="00EF4A90" w:rsidRDefault="00A156E6" w14:paraId="4054BE93" w14:textId="77777777">
            <w:pPr>
              <w:overflowPunct/>
              <w:adjustRightInd/>
              <w:jc w:val="left"/>
              <w:textAlignment w:val="auto"/>
              <w:rPr>
                <w:szCs w:val="22"/>
              </w:rPr>
            </w:pPr>
            <w:r w:rsidRPr="00A91E05">
              <w:t>…/…/…</w:t>
            </w:r>
          </w:p>
        </w:tc>
      </w:tr>
    </w:tbl>
    <w:p w:rsidRPr="00A91E05" w:rsidR="0090053A" w:rsidP="00EF4A90" w:rsidRDefault="0090053A" w14:paraId="773C5B1C" w14:textId="77777777">
      <w:pPr>
        <w:overflowPunct/>
        <w:adjustRightInd/>
        <w:textAlignment w:val="auto"/>
      </w:pPr>
    </w:p>
    <w:p w:rsidRPr="00A91E05" w:rsidR="00646AC2" w:rsidP="00EF4A90" w:rsidRDefault="00646AC2" w14:paraId="61802F64" w14:textId="77777777">
      <w:pPr>
        <w:overflowPunct/>
        <w:adjustRightInd/>
        <w:textAlignment w:val="auto"/>
      </w:pPr>
      <w:r w:rsidRPr="00A91E05">
        <w:br w:type="page"/>
      </w:r>
    </w:p>
    <w:p w:rsidRPr="00A91E05" w:rsidR="00194B36" w:rsidP="00EF4A90" w:rsidRDefault="00194B36" w14:paraId="0DA6F0AA" w14:textId="77777777">
      <w:pPr>
        <w:pStyle w:val="Heading1"/>
        <w:keepNext/>
        <w:ind w:left="567" w:hanging="567"/>
        <w:rPr>
          <w:b/>
        </w:rPr>
      </w:pPr>
      <w:r w:rsidRPr="00A91E05">
        <w:rPr>
          <w:b/>
        </w:rPr>
        <w:t>Conclusions and recommendations</w:t>
      </w:r>
    </w:p>
    <w:p w:rsidRPr="00A91E05" w:rsidR="00194B36" w:rsidP="00EF4A90" w:rsidRDefault="00194B36" w14:paraId="586B5B5C" w14:textId="77777777">
      <w:pPr>
        <w:keepNext/>
        <w:overflowPunct/>
        <w:adjustRightInd/>
        <w:ind w:left="142" w:hanging="142"/>
        <w:jc w:val="left"/>
        <w:textAlignment w:val="auto"/>
      </w:pPr>
    </w:p>
    <w:p w:rsidRPr="00A91E05" w:rsidR="00D61B0B" w:rsidP="00EF4A90" w:rsidRDefault="00D61B0B" w14:paraId="299CBBB4" w14:textId="66D5E861">
      <w:pPr>
        <w:pStyle w:val="Heading2"/>
        <w:ind w:left="567" w:hanging="567"/>
      </w:pPr>
      <w:r w:rsidRPr="00A91E05">
        <w:t>A long</w:t>
      </w:r>
      <w:r w:rsidRPr="00A91E05" w:rsidR="00B20AEB">
        <w:t>-</w:t>
      </w:r>
      <w:r w:rsidRPr="00A91E05">
        <w:t>term viable solution to develop</w:t>
      </w:r>
      <w:r w:rsidRPr="00A91E05" w:rsidR="008535C0">
        <w:t>ing</w:t>
      </w:r>
      <w:r w:rsidRPr="00A91E05">
        <w:t xml:space="preserve"> efficient and sustainable multimodal transport and logistics </w:t>
      </w:r>
      <w:r w:rsidRPr="00A91E05" w:rsidR="00FD2CD0">
        <w:t>can only be achieved by</w:t>
      </w:r>
      <w:r w:rsidRPr="00A91E05">
        <w:t xml:space="preserve"> dealing with the problems that make multimodal transport more expensive, slower and less reliable than</w:t>
      </w:r>
      <w:r w:rsidRPr="00A91E05" w:rsidR="00B20AEB">
        <w:t>,</w:t>
      </w:r>
      <w:r w:rsidRPr="00A91E05">
        <w:t xml:space="preserve"> in particular</w:t>
      </w:r>
      <w:r w:rsidRPr="00A91E05" w:rsidR="00B20AEB">
        <w:t>,</w:t>
      </w:r>
      <w:r w:rsidRPr="00A91E05">
        <w:t xml:space="preserve"> unimodal </w:t>
      </w:r>
      <w:r w:rsidRPr="00A91E05" w:rsidR="008535C0">
        <w:t xml:space="preserve">road </w:t>
      </w:r>
      <w:r w:rsidRPr="00A91E05">
        <w:t>transport.</w:t>
      </w:r>
      <w:r w:rsidRPr="00A91E05" w:rsidR="00FD2CD0">
        <w:t xml:space="preserve"> It cannot be built with financial promotion or regulatory support.</w:t>
      </w:r>
    </w:p>
    <w:p w:rsidRPr="00A91E05" w:rsidR="00D61B0B" w:rsidP="00EF4A90" w:rsidRDefault="00D61B0B" w14:paraId="7CD9B5B7" w14:textId="77777777">
      <w:pPr>
        <w:ind w:left="567" w:hanging="567"/>
      </w:pPr>
    </w:p>
    <w:p w:rsidRPr="00A91E05" w:rsidR="00D61B0B" w:rsidP="00EF4A90" w:rsidRDefault="008535C0" w14:paraId="471D18B4" w14:textId="3740ADA0">
      <w:pPr>
        <w:pStyle w:val="Heading2"/>
        <w:ind w:left="567" w:hanging="567"/>
      </w:pPr>
      <w:r w:rsidRPr="00A91E05">
        <w:t>This kind of</w:t>
      </w:r>
      <w:r w:rsidRPr="00A91E05" w:rsidR="00D61B0B">
        <w:t xml:space="preserve"> approach would also be resource</w:t>
      </w:r>
      <w:r w:rsidRPr="00A91E05" w:rsidR="008D3AE9">
        <w:t>-</w:t>
      </w:r>
      <w:r w:rsidRPr="00A91E05" w:rsidR="00D61B0B">
        <w:t>efficient from a regulatory point of view</w:t>
      </w:r>
      <w:r w:rsidRPr="00A91E05" w:rsidR="008D3AE9">
        <w:t>,</w:t>
      </w:r>
      <w:r w:rsidRPr="00A91E05" w:rsidR="00D61B0B">
        <w:t xml:space="preserve"> since no dedicated regulatory framework would be needed.</w:t>
      </w:r>
    </w:p>
    <w:p w:rsidRPr="00A91E05" w:rsidR="00095941" w:rsidP="00EF4A90" w:rsidRDefault="00095941" w14:paraId="42498888" w14:textId="77777777"/>
    <w:p w:rsidR="00B6452B" w:rsidP="00EF4A90" w:rsidRDefault="00B04719" w14:paraId="1A07ACC4" w14:textId="77777777">
      <w:pPr>
        <w:pStyle w:val="Heading2"/>
        <w:ind w:left="567" w:hanging="567"/>
      </w:pPr>
      <w:r w:rsidRPr="00A91E05">
        <w:t xml:space="preserve">To improve multimodal traffic, the EESC also recommends, </w:t>
      </w:r>
      <w:r w:rsidRPr="00A91E05" w:rsidR="00B6452B">
        <w:t>in addition to technical innovation</w:t>
      </w:r>
      <w:r w:rsidRPr="00A91E05">
        <w:t xml:space="preserve"> and</w:t>
      </w:r>
      <w:r w:rsidR="00B6452B">
        <w:t xml:space="preserve"> solution of </w:t>
      </w:r>
      <w:r w:rsidRPr="00A91E05">
        <w:t>competitiveness problems, full internalisation of external costs for all transport modes to achieve a level playing field. The EESC calls for serious measures to safeguard and/or relaunch a European single wagon</w:t>
      </w:r>
      <w:r w:rsidR="004D0F9F">
        <w:rPr>
          <w:rStyle w:val="CommentReference"/>
        </w:rPr>
        <w:t xml:space="preserve"> </w:t>
      </w:r>
      <w:r w:rsidRPr="00A91E05">
        <w:t>load system, link of</w:t>
      </w:r>
      <w:r w:rsidR="00B6452B">
        <w:t xml:space="preserve"> </w:t>
      </w:r>
      <w:r w:rsidRPr="00A91E05">
        <w:t>strategic infrastructure (e.g. ports) to rail solutions, invest</w:t>
      </w:r>
      <w:r w:rsidRPr="00A91E05" w:rsidR="0023368C">
        <w:t>ment</w:t>
      </w:r>
      <w:r w:rsidRPr="00A91E05">
        <w:t xml:space="preserve"> in industrial sidings</w:t>
      </w:r>
      <w:r w:rsidR="004D0F9F">
        <w:t>,</w:t>
      </w:r>
      <w:r w:rsidRPr="00A91E05" w:rsidR="00BE3C0E">
        <w:t xml:space="preserve"> and</w:t>
      </w:r>
      <w:r w:rsidRPr="00A91E05">
        <w:t xml:space="preserve"> </w:t>
      </w:r>
      <w:r w:rsidR="00B6452B">
        <w:t xml:space="preserve">involvement of </w:t>
      </w:r>
      <w:r w:rsidRPr="00A91E05">
        <w:t>large logistics companies in a modal reorientation of their flows.</w:t>
      </w:r>
    </w:p>
    <w:p w:rsidRPr="00287ACA" w:rsidR="00B04719" w:rsidP="00EF4A90" w:rsidRDefault="00B04719" w14:paraId="337B8923" w14:textId="77777777">
      <w:pPr>
        <w:pStyle w:val="Heading2"/>
        <w:numPr>
          <w:ilvl w:val="0"/>
          <w:numId w:val="0"/>
        </w:numPr>
      </w:pPr>
    </w:p>
    <w:p w:rsidRPr="00A91E05" w:rsidR="00B04719" w:rsidP="00EF4A90" w:rsidRDefault="00B04719" w14:paraId="2548C474" w14:textId="77777777">
      <w:pPr>
        <w:pStyle w:val="Heading2"/>
        <w:ind w:left="567" w:hanging="578"/>
      </w:pPr>
      <w:r w:rsidRPr="00A91E05">
        <w:t>In order to ensure fair competition between transport modes, the EESC recommends socially exemplary behaviour by all transport modes to ensure high</w:t>
      </w:r>
      <w:r w:rsidRPr="00A91E05" w:rsidR="008F6C7F">
        <w:noBreakHyphen/>
      </w:r>
      <w:r w:rsidRPr="00A91E05">
        <w:t>quality transport services, high-quality jobs and good social conditions with a view to achieving a level playing field for all market players.</w:t>
      </w:r>
    </w:p>
    <w:p w:rsidRPr="00A91E05" w:rsidR="00B04719" w:rsidP="003D1E0E" w:rsidRDefault="00B04719" w14:paraId="73A56D94" w14:textId="77777777"/>
    <w:p w:rsidRPr="00A91E05" w:rsidR="00D61B0B" w:rsidP="00EF4A90" w:rsidRDefault="00D61B0B" w14:paraId="2C69C5FF" w14:textId="4751AB8A">
      <w:pPr>
        <w:pStyle w:val="Heading2"/>
        <w:ind w:left="567" w:hanging="567"/>
      </w:pPr>
      <w:r w:rsidRPr="00A91E05">
        <w:t>Current problems relating to multimodal transport are</w:t>
      </w:r>
      <w:r w:rsidRPr="00A91E05" w:rsidR="008D3AE9">
        <w:t xml:space="preserve"> -</w:t>
      </w:r>
      <w:r w:rsidRPr="00A91E05">
        <w:t xml:space="preserve"> apart from additional costs due to transhipment and additional transaction costs</w:t>
      </w:r>
      <w:r w:rsidRPr="00A91E05" w:rsidR="008D3AE9">
        <w:t xml:space="preserve"> - </w:t>
      </w:r>
      <w:r w:rsidRPr="00A91E05">
        <w:t>disadvantages such as long delivery time</w:t>
      </w:r>
      <w:r w:rsidRPr="00A91E05" w:rsidR="008F6C7F">
        <w:t>s</w:t>
      </w:r>
      <w:r w:rsidRPr="00A91E05">
        <w:t>, complexity, higher risk and lower reliability</w:t>
      </w:r>
      <w:r w:rsidRPr="00A91E05" w:rsidR="008D3AE9">
        <w:t>,</w:t>
      </w:r>
      <w:r w:rsidRPr="00A91E05">
        <w:t xml:space="preserve"> </w:t>
      </w:r>
      <w:r w:rsidRPr="00A91E05" w:rsidR="008D3AE9">
        <w:t>which make it more difficult for</w:t>
      </w:r>
      <w:r w:rsidRPr="00A91E05">
        <w:t xml:space="preserve"> multimodality to take off.</w:t>
      </w:r>
    </w:p>
    <w:p w:rsidRPr="00A91E05" w:rsidR="00D61B0B" w:rsidP="00EF4A90" w:rsidRDefault="00D61B0B" w14:paraId="70DD8B98" w14:textId="77777777">
      <w:pPr>
        <w:ind w:left="567" w:hanging="567"/>
      </w:pPr>
    </w:p>
    <w:p w:rsidRPr="00A91E05" w:rsidR="00D61B0B" w:rsidP="00EF4A90" w:rsidRDefault="00C303E5" w14:paraId="7E413CC0" w14:textId="232EB3DD">
      <w:pPr>
        <w:pStyle w:val="Heading2"/>
        <w:ind w:left="567" w:hanging="567"/>
      </w:pPr>
      <w:r w:rsidRPr="00A91E05">
        <w:t>Therefore,</w:t>
      </w:r>
      <w:r w:rsidRPr="00A91E05" w:rsidR="00D61B0B">
        <w:t xml:space="preserve"> measures are needed to </w:t>
      </w:r>
      <w:r w:rsidRPr="00A91E05" w:rsidR="008F6C7F">
        <w:t xml:space="preserve">make </w:t>
      </w:r>
      <w:r w:rsidRPr="00A91E05" w:rsidR="00D61B0B">
        <w:t xml:space="preserve">multimodal freight transport competitive in its own right and achieve efficient and seamless multimodal freight transport flows at the same cost as unimodal transport. </w:t>
      </w:r>
    </w:p>
    <w:p w:rsidRPr="00A91E05" w:rsidR="00D61B0B" w:rsidP="00EF4A90" w:rsidRDefault="00D61B0B" w14:paraId="27C49FBE" w14:textId="77777777">
      <w:pPr>
        <w:ind w:left="567" w:hanging="567"/>
      </w:pPr>
    </w:p>
    <w:p w:rsidRPr="00A91E05" w:rsidR="00D61B0B" w:rsidP="00EF4A90" w:rsidRDefault="00D61B0B" w14:paraId="3D30F798" w14:textId="77777777">
      <w:pPr>
        <w:pStyle w:val="Heading2"/>
        <w:ind w:left="567" w:hanging="567"/>
      </w:pPr>
      <w:r w:rsidRPr="00A91E05">
        <w:t>There is also a need for rail to adapt better to an open market context and remedy problems due to lack of punctuality, reliability, predictability and flexibility</w:t>
      </w:r>
      <w:r w:rsidRPr="00A91E05" w:rsidR="00136F38">
        <w:t>,</w:t>
      </w:r>
      <w:r w:rsidRPr="00A91E05">
        <w:t xml:space="preserve"> </w:t>
      </w:r>
      <w:r w:rsidRPr="00A91E05" w:rsidR="00136F38">
        <w:t xml:space="preserve">which </w:t>
      </w:r>
      <w:r w:rsidRPr="00A91E05">
        <w:t>have a negative impact on multimodal solutions involving rail.</w:t>
      </w:r>
    </w:p>
    <w:p w:rsidRPr="00A91E05" w:rsidR="00D61B0B" w:rsidP="00EF4A90" w:rsidRDefault="00D61B0B" w14:paraId="1A974535" w14:textId="77777777">
      <w:pPr>
        <w:pStyle w:val="Heading2"/>
        <w:numPr>
          <w:ilvl w:val="0"/>
          <w:numId w:val="0"/>
        </w:numPr>
        <w:ind w:left="567" w:hanging="567"/>
      </w:pPr>
      <w:r w:rsidRPr="00A91E05">
        <w:t xml:space="preserve"> </w:t>
      </w:r>
    </w:p>
    <w:p w:rsidRPr="00A91E05" w:rsidR="00D61B0B" w:rsidP="00EF4A90" w:rsidRDefault="00D61B0B" w14:paraId="3846C491" w14:textId="51B6D9E2">
      <w:pPr>
        <w:pStyle w:val="Heading2"/>
        <w:ind w:left="567" w:hanging="567"/>
      </w:pPr>
      <w:r w:rsidRPr="00A91E05">
        <w:t>Regarding inland waterway transport</w:t>
      </w:r>
      <w:r w:rsidRPr="00A91E05" w:rsidR="000C53E6">
        <w:t>,</w:t>
      </w:r>
      <w:r w:rsidRPr="00A91E05">
        <w:t xml:space="preserve"> improvements seem to be needed with respect to cross</w:t>
      </w:r>
      <w:r w:rsidRPr="00A91E05" w:rsidR="008F6C7F">
        <w:noBreakHyphen/>
      </w:r>
      <w:r w:rsidRPr="00A91E05">
        <w:t>border transport capacity.</w:t>
      </w:r>
    </w:p>
    <w:p w:rsidRPr="00A91E05" w:rsidR="00D61B0B" w:rsidP="00EF4A90" w:rsidRDefault="00D61B0B" w14:paraId="0DEFBF01" w14:textId="77777777">
      <w:pPr>
        <w:ind w:left="567" w:hanging="567"/>
      </w:pPr>
    </w:p>
    <w:p w:rsidRPr="00A91E05" w:rsidR="00D61B0B" w:rsidP="00EF4A90" w:rsidRDefault="00D61B0B" w14:paraId="417F320D" w14:textId="7B09E956">
      <w:pPr>
        <w:pStyle w:val="Heading2"/>
        <w:ind w:left="567" w:hanging="567"/>
      </w:pPr>
      <w:r w:rsidRPr="00A91E05">
        <w:t xml:space="preserve">Adequate terminal infrastructure is key to successful intermodality. As a matter of resource efficiency, it would also be useful </w:t>
      </w:r>
      <w:r w:rsidRPr="00A91E05" w:rsidR="008F6C7F">
        <w:t xml:space="preserve">for </w:t>
      </w:r>
      <w:r w:rsidRPr="00A91E05">
        <w:t xml:space="preserve">Member States </w:t>
      </w:r>
      <w:r w:rsidRPr="00A91E05" w:rsidR="008F6C7F">
        <w:t xml:space="preserve">to agree </w:t>
      </w:r>
      <w:r w:rsidRPr="00A91E05">
        <w:t>to collaborate on the planning of terminal infrastructure in border regions.</w:t>
      </w:r>
    </w:p>
    <w:p w:rsidRPr="00A91E05" w:rsidR="00095941" w:rsidP="00EF4A90" w:rsidRDefault="00095941" w14:paraId="47AFE866" w14:textId="77777777"/>
    <w:p w:rsidRPr="00A91E05" w:rsidR="00493C4F" w:rsidP="00EF4A90" w:rsidRDefault="007A6D31" w14:paraId="42737C6D" w14:textId="77777777">
      <w:pPr>
        <w:pStyle w:val="Heading2"/>
        <w:ind w:left="567" w:hanging="567"/>
      </w:pPr>
      <w:r w:rsidRPr="00A91E05">
        <w:t>With regard to public debt, the</w:t>
      </w:r>
      <w:r w:rsidRPr="00A91E05" w:rsidR="00493C4F">
        <w:t xml:space="preserve"> EESC recommends </w:t>
      </w:r>
      <w:r w:rsidRPr="00A91E05">
        <w:t xml:space="preserve">that public investment in multimodal infrastructure be exempt from </w:t>
      </w:r>
      <w:r w:rsidRPr="00A91E05" w:rsidR="00493C4F">
        <w:t>the provisions of the Stability and Growth Pact (SGP)</w:t>
      </w:r>
      <w:r w:rsidRPr="00A91E05" w:rsidR="00A815D7">
        <w:t xml:space="preserve"> </w:t>
      </w:r>
      <w:r w:rsidRPr="00A91E05" w:rsidR="00493C4F">
        <w:t xml:space="preserve">beyond the </w:t>
      </w:r>
      <w:r w:rsidRPr="00A91E05" w:rsidR="007D6707">
        <w:t>COVID-</w:t>
      </w:r>
      <w:r w:rsidRPr="00A91E05" w:rsidR="00493C4F">
        <w:t>19 crisis.</w:t>
      </w:r>
    </w:p>
    <w:p w:rsidRPr="00A91E05" w:rsidR="00D61B0B" w:rsidP="00EF4A90" w:rsidRDefault="00D61B0B" w14:paraId="63794699" w14:textId="77777777">
      <w:pPr>
        <w:ind w:left="567" w:hanging="567"/>
      </w:pPr>
    </w:p>
    <w:p w:rsidRPr="00A91E05" w:rsidR="00D61B0B" w:rsidP="00EF4A90" w:rsidRDefault="00D61B0B" w14:paraId="3E965617" w14:textId="77777777">
      <w:pPr>
        <w:pStyle w:val="Heading2"/>
        <w:ind w:left="567" w:hanging="567"/>
      </w:pPr>
      <w:r w:rsidRPr="00A91E05">
        <w:t xml:space="preserve">It is </w:t>
      </w:r>
      <w:r w:rsidRPr="00A91E05" w:rsidR="00221273">
        <w:t>i</w:t>
      </w:r>
      <w:r w:rsidRPr="00A91E05">
        <w:t xml:space="preserve">mportant </w:t>
      </w:r>
      <w:r w:rsidRPr="00A91E05" w:rsidR="000C53E6">
        <w:t xml:space="preserve">for </w:t>
      </w:r>
      <w:r w:rsidRPr="00A91E05">
        <w:t>well-functioning multimodality that regulations regarding</w:t>
      </w:r>
      <w:r w:rsidRPr="00A91E05" w:rsidR="000C53E6">
        <w:t>,</w:t>
      </w:r>
      <w:r w:rsidRPr="00A91E05">
        <w:t xml:space="preserve"> for instance</w:t>
      </w:r>
      <w:r w:rsidRPr="00A91E05" w:rsidR="000C53E6">
        <w:t>,</w:t>
      </w:r>
      <w:r w:rsidRPr="00A91E05">
        <w:t xml:space="preserve"> </w:t>
      </w:r>
      <w:r w:rsidRPr="00A91E05" w:rsidR="000C53E6">
        <w:t xml:space="preserve">the </w:t>
      </w:r>
      <w:r w:rsidRPr="00A91E05">
        <w:t>handling of dangerous goods between different modes are consistent and that other regulatory and practical issues that may cause difficulties in the interface between modes or in transport between Member States are resolved.</w:t>
      </w:r>
    </w:p>
    <w:p w:rsidRPr="00A91E05" w:rsidR="00D61B0B" w:rsidP="00EF4A90" w:rsidRDefault="00D61B0B" w14:paraId="28718986" w14:textId="77777777">
      <w:pPr>
        <w:ind w:left="567" w:hanging="567"/>
      </w:pPr>
    </w:p>
    <w:p w:rsidRPr="00A91E05" w:rsidR="00D61B0B" w:rsidP="00EF4A90" w:rsidRDefault="00D61B0B" w14:paraId="26B59300" w14:textId="0D1E5983">
      <w:pPr>
        <w:pStyle w:val="Heading2"/>
        <w:ind w:left="567" w:hanging="567"/>
      </w:pPr>
      <w:r w:rsidRPr="00A91E05">
        <w:t xml:space="preserve">A number of the problems hampering intermodal transport </w:t>
      </w:r>
      <w:r w:rsidRPr="00A91E05" w:rsidR="00A815D7">
        <w:t xml:space="preserve">could </w:t>
      </w:r>
      <w:r w:rsidRPr="00A91E05">
        <w:t>be resolved by smart digital solutions such as track and tracing possibilities and other digital solutions facilitating the effective management of multimodal transport flows.</w:t>
      </w:r>
    </w:p>
    <w:p w:rsidRPr="00A91E05" w:rsidR="00D61B0B" w:rsidP="00EF4A90" w:rsidRDefault="00D61B0B" w14:paraId="1ED53F1E" w14:textId="77777777">
      <w:pPr>
        <w:ind w:left="567" w:hanging="567"/>
      </w:pPr>
    </w:p>
    <w:p w:rsidRPr="00A91E05" w:rsidR="00D61B0B" w:rsidP="00EF4A90" w:rsidRDefault="00D61B0B" w14:paraId="75E32CC0" w14:textId="05CAED67">
      <w:pPr>
        <w:pStyle w:val="Heading2"/>
        <w:ind w:left="567" w:hanging="567"/>
      </w:pPr>
      <w:r w:rsidRPr="00A91E05">
        <w:t xml:space="preserve">Regulation </w:t>
      </w:r>
      <w:r w:rsidRPr="00A91E05" w:rsidR="00A815D7">
        <w:t xml:space="preserve">(EU) 2020/1056 </w:t>
      </w:r>
      <w:r w:rsidRPr="00A91E05">
        <w:t xml:space="preserve">on </w:t>
      </w:r>
      <w:r w:rsidRPr="00A91E05" w:rsidR="00A815D7">
        <w:t>e</w:t>
      </w:r>
      <w:r w:rsidRPr="00A91E05">
        <w:t xml:space="preserve">lectronic </w:t>
      </w:r>
      <w:r w:rsidRPr="00A91E05" w:rsidR="00A815D7">
        <w:t>f</w:t>
      </w:r>
      <w:r w:rsidRPr="00A91E05">
        <w:t xml:space="preserve">reight transport information will facilitate the exchange of regulatory information between operators and authorities </w:t>
      </w:r>
      <w:r w:rsidRPr="00A91E05" w:rsidR="00A815D7">
        <w:t xml:space="preserve">on </w:t>
      </w:r>
      <w:r w:rsidRPr="00A91E05">
        <w:t>digital platforms as of August 2024 and improve the flow of intermodal transport.</w:t>
      </w:r>
    </w:p>
    <w:p w:rsidRPr="00A91E05" w:rsidR="00D61B0B" w:rsidP="00EF4A90" w:rsidRDefault="00D61B0B" w14:paraId="2738AD33" w14:textId="77777777"/>
    <w:p w:rsidRPr="00A91E05" w:rsidR="00194B36" w:rsidP="00EF4A90" w:rsidRDefault="00D61B0B" w14:paraId="44594349" w14:textId="50424E8F">
      <w:pPr>
        <w:pStyle w:val="Heading2"/>
        <w:ind w:left="567" w:hanging="567"/>
      </w:pPr>
      <w:r w:rsidRPr="00A91E05">
        <w:t xml:space="preserve">The EESC calls on the European Commission to consider the </w:t>
      </w:r>
      <w:r w:rsidRPr="00A91E05" w:rsidR="00A815D7">
        <w:t xml:space="preserve">above </w:t>
      </w:r>
      <w:r w:rsidRPr="00A91E05">
        <w:t xml:space="preserve">suggestions when </w:t>
      </w:r>
      <w:r w:rsidRPr="00A91E05" w:rsidR="00A815D7">
        <w:t xml:space="preserve">drafting </w:t>
      </w:r>
      <w:r w:rsidRPr="00A91E05">
        <w:t xml:space="preserve">its upcoming review of the regulatory framework for intermodal transport and </w:t>
      </w:r>
      <w:r w:rsidRPr="00A91E05" w:rsidR="00A815D7">
        <w:t xml:space="preserve">to </w:t>
      </w:r>
      <w:r w:rsidRPr="00A91E05">
        <w:t>enable multimodal transport to play its full part in the transport system, without dedicated support measures.</w:t>
      </w:r>
    </w:p>
    <w:p w:rsidRPr="00A91E05" w:rsidR="00194B36" w:rsidP="00EF4A90" w:rsidRDefault="00194B36" w14:paraId="2F77257B" w14:textId="77777777"/>
    <w:p w:rsidRPr="00A91E05" w:rsidR="00D61B0B" w:rsidP="00EF4A90" w:rsidRDefault="00D61B0B" w14:paraId="08E5B0FC" w14:textId="77777777">
      <w:pPr>
        <w:pStyle w:val="Heading1"/>
        <w:keepNext/>
        <w:ind w:left="567" w:hanging="567"/>
        <w:rPr>
          <w:b/>
          <w:bCs/>
        </w:rPr>
      </w:pPr>
      <w:r w:rsidRPr="00A91E05">
        <w:rPr>
          <w:b/>
          <w:bCs/>
        </w:rPr>
        <w:t>Background</w:t>
      </w:r>
    </w:p>
    <w:p w:rsidRPr="00A91E05" w:rsidR="00D61B0B" w:rsidP="00EF4A90" w:rsidRDefault="00D61B0B" w14:paraId="6EC36A18" w14:textId="77777777">
      <w:pPr>
        <w:keepNext/>
        <w:ind w:left="567" w:hanging="567"/>
        <w:rPr>
          <w:b/>
          <w:bCs/>
          <w:szCs w:val="22"/>
        </w:rPr>
      </w:pPr>
    </w:p>
    <w:p w:rsidRPr="00A91E05" w:rsidR="00D61B0B" w:rsidP="00EF4A90" w:rsidRDefault="00D61B0B" w14:paraId="59C9FD8C" w14:textId="6FD5CC06">
      <w:pPr>
        <w:pStyle w:val="ListParagraph"/>
        <w:numPr>
          <w:ilvl w:val="1"/>
          <w:numId w:val="72"/>
        </w:numPr>
        <w:spacing w:after="0" w:line="288" w:lineRule="auto"/>
        <w:ind w:left="567" w:hanging="567"/>
        <w:jc w:val="both"/>
        <w:rPr>
          <w:rFonts w:ascii="Times New Roman" w:hAnsi="Times New Roman" w:cs="Times New Roman"/>
          <w:lang w:val="en-GB"/>
        </w:rPr>
      </w:pPr>
      <w:r w:rsidRPr="00A91E05">
        <w:rPr>
          <w:rFonts w:ascii="Times New Roman" w:hAnsi="Times New Roman" w:cs="Times New Roman"/>
          <w:lang w:val="en-GB"/>
        </w:rPr>
        <w:t xml:space="preserve">The European Commission </w:t>
      </w:r>
      <w:r w:rsidRPr="00A91E05" w:rsidR="00E016E6">
        <w:rPr>
          <w:rFonts w:ascii="Times New Roman" w:hAnsi="Times New Roman" w:cs="Times New Roman"/>
          <w:lang w:val="en-GB"/>
        </w:rPr>
        <w:t>C</w:t>
      </w:r>
      <w:r w:rsidRPr="00A91E05">
        <w:rPr>
          <w:rFonts w:ascii="Times New Roman" w:hAnsi="Times New Roman" w:cs="Times New Roman"/>
          <w:lang w:val="en-GB"/>
        </w:rPr>
        <w:t xml:space="preserve">ommunication on a Sustainable and Smart Mobility Strategy </w:t>
      </w:r>
      <w:r w:rsidRPr="00A91E05" w:rsidR="008C68A2">
        <w:rPr>
          <w:rFonts w:ascii="Times New Roman" w:hAnsi="Times New Roman" w:cs="Times New Roman"/>
          <w:lang w:val="en-GB"/>
        </w:rPr>
        <w:t>(</w:t>
      </w:r>
      <w:r w:rsidRPr="00A91E05">
        <w:rPr>
          <w:rFonts w:ascii="Times New Roman" w:hAnsi="Times New Roman" w:cs="Times New Roman"/>
          <w:lang w:val="en-GB"/>
        </w:rPr>
        <w:t>COM(2020) 789</w:t>
      </w:r>
      <w:r w:rsidRPr="00A91E05" w:rsidR="008C68A2">
        <w:rPr>
          <w:rFonts w:ascii="Times New Roman" w:hAnsi="Times New Roman" w:cs="Times New Roman"/>
          <w:lang w:val="en-GB"/>
        </w:rPr>
        <w:t xml:space="preserve"> - </w:t>
      </w:r>
      <w:r w:rsidRPr="00A91E05">
        <w:rPr>
          <w:rFonts w:ascii="Times New Roman" w:hAnsi="Times New Roman" w:cs="Times New Roman"/>
          <w:lang w:val="en-GB"/>
        </w:rPr>
        <w:t>the SSM Strategy</w:t>
      </w:r>
      <w:r w:rsidRPr="00A91E05" w:rsidR="003F20CE">
        <w:rPr>
          <w:rFonts w:ascii="Times New Roman" w:hAnsi="Times New Roman" w:cs="Times New Roman"/>
          <w:lang w:val="en-GB"/>
        </w:rPr>
        <w:t>)</w:t>
      </w:r>
      <w:r w:rsidRPr="00A91E05">
        <w:rPr>
          <w:rFonts w:ascii="Times New Roman" w:hAnsi="Times New Roman" w:cs="Times New Roman"/>
          <w:lang w:val="en-GB"/>
        </w:rPr>
        <w:t xml:space="preserve"> points out that</w:t>
      </w:r>
      <w:r w:rsidRPr="00A91E05" w:rsidR="00A815D7">
        <w:rPr>
          <w:rFonts w:ascii="Times New Roman" w:hAnsi="Times New Roman" w:cs="Times New Roman"/>
          <w:lang w:val="en-GB"/>
        </w:rPr>
        <w:t>,</w:t>
      </w:r>
      <w:r w:rsidRPr="00A91E05">
        <w:rPr>
          <w:rFonts w:ascii="Times New Roman" w:hAnsi="Times New Roman" w:cs="Times New Roman"/>
          <w:lang w:val="en-GB"/>
        </w:rPr>
        <w:t xml:space="preserve"> to support the greening of cargo operations in Europe, the existing framework for intermodal transport needs a substantial revamp and must be turned into an effective tool. </w:t>
      </w:r>
      <w:r w:rsidRPr="00A91E05" w:rsidR="00A815D7">
        <w:rPr>
          <w:rFonts w:ascii="Times New Roman" w:hAnsi="Times New Roman" w:cs="Times New Roman"/>
          <w:lang w:val="en-GB"/>
        </w:rPr>
        <w:t>It singles out</w:t>
      </w:r>
      <w:r w:rsidRPr="00A91E05">
        <w:rPr>
          <w:rFonts w:ascii="Times New Roman" w:hAnsi="Times New Roman" w:cs="Times New Roman"/>
          <w:lang w:val="en-GB"/>
        </w:rPr>
        <w:t xml:space="preserve"> the need to review the regulatory framework, including the Combined Transport Directive </w:t>
      </w:r>
      <w:r w:rsidRPr="00A91E05" w:rsidR="00A815D7">
        <w:rPr>
          <w:rFonts w:ascii="Times New Roman" w:hAnsi="Times New Roman" w:cs="Times New Roman"/>
          <w:lang w:val="en-GB"/>
        </w:rPr>
        <w:t>(</w:t>
      </w:r>
      <w:r w:rsidRPr="00A91E05">
        <w:rPr>
          <w:rFonts w:ascii="Times New Roman" w:hAnsi="Times New Roman" w:cs="Times New Roman"/>
          <w:lang w:val="en-GB"/>
        </w:rPr>
        <w:t xml:space="preserve">92/106/EEC </w:t>
      </w:r>
      <w:r w:rsidRPr="00A91E05" w:rsidR="00A815D7">
        <w:rPr>
          <w:rFonts w:ascii="Times New Roman" w:hAnsi="Times New Roman" w:cs="Times New Roman"/>
          <w:lang w:val="en-GB"/>
        </w:rPr>
        <w:t xml:space="preserve">- </w:t>
      </w:r>
      <w:r w:rsidRPr="00A91E05" w:rsidR="000C53E6">
        <w:rPr>
          <w:rFonts w:ascii="Times New Roman" w:hAnsi="Times New Roman" w:cs="Times New Roman"/>
          <w:lang w:val="en-GB"/>
        </w:rPr>
        <w:t xml:space="preserve">hereinafter </w:t>
      </w:r>
      <w:r w:rsidRPr="00A91E05">
        <w:rPr>
          <w:rFonts w:ascii="Times New Roman" w:hAnsi="Times New Roman" w:cs="Times New Roman"/>
          <w:lang w:val="en-GB"/>
        </w:rPr>
        <w:t xml:space="preserve">the Directive) and the option </w:t>
      </w:r>
      <w:r w:rsidRPr="00A91E05" w:rsidR="00A815D7">
        <w:rPr>
          <w:rFonts w:ascii="Times New Roman" w:hAnsi="Times New Roman" w:cs="Times New Roman"/>
          <w:lang w:val="en-GB"/>
        </w:rPr>
        <w:t>of introducing</w:t>
      </w:r>
      <w:r w:rsidRPr="00A91E05">
        <w:rPr>
          <w:rFonts w:ascii="Times New Roman" w:hAnsi="Times New Roman" w:cs="Times New Roman"/>
          <w:lang w:val="en-GB"/>
        </w:rPr>
        <w:t xml:space="preserve"> economic incentives for both operations and infrastructure. Incentives should be based on emission</w:t>
      </w:r>
      <w:r w:rsidRPr="00A91E05" w:rsidR="004A7136">
        <w:rPr>
          <w:rFonts w:ascii="Times New Roman" w:hAnsi="Times New Roman" w:cs="Times New Roman"/>
          <w:lang w:val="en-GB"/>
        </w:rPr>
        <w:t>s</w:t>
      </w:r>
      <w:r w:rsidRPr="00A91E05">
        <w:rPr>
          <w:rFonts w:ascii="Times New Roman" w:hAnsi="Times New Roman" w:cs="Times New Roman"/>
          <w:lang w:val="en-GB"/>
        </w:rPr>
        <w:t xml:space="preserve"> monitoring.</w:t>
      </w:r>
    </w:p>
    <w:p w:rsidRPr="00E72612" w:rsidR="00F45F54" w:rsidP="003D1E0E" w:rsidRDefault="00F45F54" w14:paraId="3510D42E" w14:textId="77777777">
      <w:pPr>
        <w:pStyle w:val="ListParagraph"/>
        <w:spacing w:after="0" w:line="288" w:lineRule="auto"/>
        <w:ind w:left="567"/>
        <w:jc w:val="both"/>
      </w:pPr>
    </w:p>
    <w:p w:rsidRPr="00A91E05" w:rsidR="003B7185" w:rsidP="00EF4A90" w:rsidRDefault="00E2758C" w14:paraId="61A8A6E6" w14:textId="77777777">
      <w:pPr>
        <w:pStyle w:val="ListParagraph"/>
        <w:numPr>
          <w:ilvl w:val="1"/>
          <w:numId w:val="72"/>
        </w:numPr>
        <w:spacing w:after="0" w:line="288" w:lineRule="auto"/>
        <w:ind w:left="567" w:hanging="567"/>
        <w:jc w:val="both"/>
        <w:rPr>
          <w:rFonts w:ascii="Times New Roman" w:hAnsi="Times New Roman" w:cs="Times New Roman"/>
          <w:lang w:val="en-GB"/>
        </w:rPr>
      </w:pPr>
      <w:r w:rsidRPr="002A068C">
        <w:rPr>
          <w:rFonts w:ascii="Times New Roman" w:hAnsi="Times New Roman" w:cs="Times New Roman"/>
          <w:lang w:val="en-GB"/>
        </w:rPr>
        <w:t>T</w:t>
      </w:r>
      <w:r w:rsidRPr="00CD3799" w:rsidR="003B7185">
        <w:rPr>
          <w:rFonts w:ascii="Times New Roman" w:hAnsi="Times New Roman" w:cs="Times New Roman"/>
          <w:lang w:val="en-GB"/>
        </w:rPr>
        <w:t xml:space="preserve">he core of the </w:t>
      </w:r>
      <w:r w:rsidRPr="00CD3799" w:rsidR="0071492A">
        <w:rPr>
          <w:rFonts w:ascii="Times New Roman" w:hAnsi="Times New Roman" w:cs="Times New Roman"/>
          <w:lang w:val="en-GB"/>
        </w:rPr>
        <w:t>S</w:t>
      </w:r>
      <w:r w:rsidRPr="00A91E05" w:rsidR="003B7185">
        <w:rPr>
          <w:rFonts w:ascii="Times New Roman" w:hAnsi="Times New Roman" w:cs="Times New Roman"/>
          <w:lang w:val="en-GB"/>
        </w:rPr>
        <w:t xml:space="preserve">ustainable and </w:t>
      </w:r>
      <w:r w:rsidRPr="00A91E05" w:rsidR="0071492A">
        <w:rPr>
          <w:rFonts w:ascii="Times New Roman" w:hAnsi="Times New Roman" w:cs="Times New Roman"/>
          <w:lang w:val="en-GB"/>
        </w:rPr>
        <w:t>S</w:t>
      </w:r>
      <w:r w:rsidRPr="00A91E05" w:rsidR="003B7185">
        <w:rPr>
          <w:rFonts w:ascii="Times New Roman" w:hAnsi="Times New Roman" w:cs="Times New Roman"/>
          <w:lang w:val="en-GB"/>
        </w:rPr>
        <w:t xml:space="preserve">mart </w:t>
      </w:r>
      <w:r w:rsidRPr="00A91E05" w:rsidR="0071492A">
        <w:rPr>
          <w:rFonts w:ascii="Times New Roman" w:hAnsi="Times New Roman" w:cs="Times New Roman"/>
          <w:lang w:val="en-GB"/>
        </w:rPr>
        <w:t>M</w:t>
      </w:r>
      <w:r w:rsidRPr="00A91E05" w:rsidR="003B7185">
        <w:rPr>
          <w:rFonts w:ascii="Times New Roman" w:hAnsi="Times New Roman" w:cs="Times New Roman"/>
          <w:lang w:val="en-GB"/>
        </w:rPr>
        <w:t xml:space="preserve">obility </w:t>
      </w:r>
      <w:r w:rsidRPr="00A91E05" w:rsidR="0071492A">
        <w:rPr>
          <w:rFonts w:ascii="Times New Roman" w:hAnsi="Times New Roman" w:cs="Times New Roman"/>
          <w:lang w:val="en-GB"/>
        </w:rPr>
        <w:t>S</w:t>
      </w:r>
      <w:r w:rsidRPr="00A91E05" w:rsidR="003B7185">
        <w:rPr>
          <w:rFonts w:ascii="Times New Roman" w:hAnsi="Times New Roman" w:cs="Times New Roman"/>
          <w:lang w:val="en-GB"/>
        </w:rPr>
        <w:t xml:space="preserve">trategy is </w:t>
      </w:r>
      <w:r w:rsidRPr="00A91E05" w:rsidR="00A815D7">
        <w:rPr>
          <w:rFonts w:ascii="Times New Roman" w:hAnsi="Times New Roman" w:cs="Times New Roman"/>
          <w:lang w:val="en-GB"/>
        </w:rPr>
        <w:t>a 90% reduction in</w:t>
      </w:r>
      <w:r w:rsidRPr="00A91E05" w:rsidR="003B7185">
        <w:rPr>
          <w:rFonts w:ascii="Times New Roman" w:hAnsi="Times New Roman" w:cs="Times New Roman"/>
          <w:lang w:val="en-GB"/>
        </w:rPr>
        <w:t xml:space="preserve"> greenhouse gas emissions by 2050. Multimodal transport plays an important role in the strategy</w:t>
      </w:r>
      <w:r w:rsidRPr="00A91E05" w:rsidR="00A815D7">
        <w:rPr>
          <w:rFonts w:ascii="Times New Roman" w:hAnsi="Times New Roman" w:cs="Times New Roman"/>
          <w:lang w:val="en-GB"/>
        </w:rPr>
        <w:t>,</w:t>
      </w:r>
      <w:r w:rsidRPr="00A91E05" w:rsidR="003B7185">
        <w:rPr>
          <w:rFonts w:ascii="Times New Roman" w:hAnsi="Times New Roman" w:cs="Times New Roman"/>
          <w:lang w:val="en-GB"/>
        </w:rPr>
        <w:t xml:space="preserve"> </w:t>
      </w:r>
      <w:r w:rsidRPr="00A91E05" w:rsidR="00A815D7">
        <w:rPr>
          <w:rFonts w:ascii="Times New Roman" w:hAnsi="Times New Roman" w:cs="Times New Roman"/>
          <w:lang w:val="en-GB"/>
        </w:rPr>
        <w:t>which aims to</w:t>
      </w:r>
      <w:r w:rsidRPr="00A91E05" w:rsidR="003B7185">
        <w:rPr>
          <w:rFonts w:ascii="Times New Roman" w:hAnsi="Times New Roman" w:cs="Times New Roman"/>
          <w:lang w:val="en-GB"/>
        </w:rPr>
        <w:t xml:space="preserve"> ensure environmentally</w:t>
      </w:r>
      <w:r w:rsidRPr="00A91E05" w:rsidR="00A815D7">
        <w:rPr>
          <w:rFonts w:ascii="Times New Roman" w:hAnsi="Times New Roman" w:cs="Times New Roman"/>
          <w:lang w:val="en-GB"/>
        </w:rPr>
        <w:t>-</w:t>
      </w:r>
      <w:r w:rsidRPr="00A91E05" w:rsidR="003B7185">
        <w:rPr>
          <w:rFonts w:ascii="Times New Roman" w:hAnsi="Times New Roman" w:cs="Times New Roman"/>
          <w:lang w:val="en-GB"/>
        </w:rPr>
        <w:t>optimised interaction of modes</w:t>
      </w:r>
      <w:r w:rsidRPr="00A91E05" w:rsidR="00A815D7">
        <w:rPr>
          <w:rFonts w:ascii="Times New Roman" w:hAnsi="Times New Roman" w:cs="Times New Roman"/>
          <w:lang w:val="en-GB"/>
        </w:rPr>
        <w:t>,</w:t>
      </w:r>
      <w:r w:rsidRPr="00A91E05" w:rsidR="003B7185">
        <w:rPr>
          <w:rFonts w:ascii="Times New Roman" w:hAnsi="Times New Roman" w:cs="Times New Roman"/>
          <w:lang w:val="en-GB"/>
        </w:rPr>
        <w:t xml:space="preserve"> including</w:t>
      </w:r>
      <w:r w:rsidR="00C525E4">
        <w:rPr>
          <w:rFonts w:ascii="Times New Roman" w:hAnsi="Times New Roman" w:cs="Times New Roman"/>
          <w:lang w:val="en-GB"/>
        </w:rPr>
        <w:t xml:space="preserve"> </w:t>
      </w:r>
      <w:r w:rsidRPr="00A91E05" w:rsidR="00A815D7">
        <w:rPr>
          <w:rFonts w:ascii="Times New Roman" w:hAnsi="Times New Roman" w:cs="Times New Roman"/>
          <w:lang w:val="en-GB"/>
        </w:rPr>
        <w:t>reducing</w:t>
      </w:r>
      <w:r w:rsidRPr="00A91E05" w:rsidR="003B7185">
        <w:rPr>
          <w:rFonts w:ascii="Times New Roman" w:hAnsi="Times New Roman" w:cs="Times New Roman"/>
          <w:lang w:val="en-GB"/>
        </w:rPr>
        <w:t xml:space="preserve"> the predominance of road haulage. </w:t>
      </w:r>
    </w:p>
    <w:p w:rsidRPr="00A91E05" w:rsidR="00D61B0B" w:rsidP="00EF4A90" w:rsidRDefault="00D61B0B" w14:paraId="1E17BC9E" w14:textId="77777777">
      <w:pPr>
        <w:ind w:left="567" w:hanging="567"/>
        <w:rPr>
          <w:rFonts w:eastAsiaTheme="minorHAnsi"/>
          <w:szCs w:val="22"/>
        </w:rPr>
      </w:pPr>
    </w:p>
    <w:p w:rsidRPr="00A91E05" w:rsidR="00D61B0B" w:rsidP="00EF4A90" w:rsidRDefault="00D61B0B" w14:paraId="0FABC4EE" w14:textId="57D111DA">
      <w:pPr>
        <w:pStyle w:val="ListParagraph"/>
        <w:numPr>
          <w:ilvl w:val="1"/>
          <w:numId w:val="72"/>
        </w:numPr>
        <w:spacing w:after="0" w:line="288" w:lineRule="auto"/>
        <w:ind w:left="567" w:hanging="567"/>
        <w:jc w:val="both"/>
        <w:rPr>
          <w:rFonts w:ascii="Times New Roman" w:hAnsi="Times New Roman" w:cs="Times New Roman"/>
          <w:lang w:val="en-GB"/>
        </w:rPr>
      </w:pPr>
      <w:r w:rsidRPr="00A91E05">
        <w:rPr>
          <w:rFonts w:ascii="Times New Roman" w:hAnsi="Times New Roman" w:cs="Times New Roman"/>
          <w:lang w:val="en-GB"/>
        </w:rPr>
        <w:t xml:space="preserve">The SSM Strategy also </w:t>
      </w:r>
      <w:r w:rsidRPr="00A91E05" w:rsidR="008C68A2">
        <w:rPr>
          <w:rFonts w:ascii="Times New Roman" w:hAnsi="Times New Roman" w:cs="Times New Roman"/>
          <w:lang w:val="en-GB"/>
        </w:rPr>
        <w:t>stresses</w:t>
      </w:r>
      <w:r w:rsidRPr="00A91E05">
        <w:rPr>
          <w:rFonts w:ascii="Times New Roman" w:hAnsi="Times New Roman" w:cs="Times New Roman"/>
          <w:lang w:val="en-GB"/>
        </w:rPr>
        <w:t xml:space="preserve"> the importance of multimodal logistics</w:t>
      </w:r>
      <w:r w:rsidRPr="00A91E05" w:rsidR="004A7136">
        <w:rPr>
          <w:rFonts w:ascii="Times New Roman" w:hAnsi="Times New Roman" w:cs="Times New Roman"/>
          <w:lang w:val="en-GB"/>
        </w:rPr>
        <w:t>,</w:t>
      </w:r>
      <w:r w:rsidRPr="00A91E05">
        <w:rPr>
          <w:rFonts w:ascii="Times New Roman" w:hAnsi="Times New Roman" w:cs="Times New Roman"/>
          <w:lang w:val="en-GB"/>
        </w:rPr>
        <w:t xml:space="preserve"> including in urban areas</w:t>
      </w:r>
      <w:r w:rsidRPr="00A91E05" w:rsidR="004A7136">
        <w:rPr>
          <w:rFonts w:ascii="Times New Roman" w:hAnsi="Times New Roman" w:cs="Times New Roman"/>
          <w:lang w:val="en-GB"/>
        </w:rPr>
        <w:t>,</w:t>
      </w:r>
      <w:r w:rsidRPr="00A91E05">
        <w:rPr>
          <w:rFonts w:ascii="Times New Roman" w:hAnsi="Times New Roman" w:cs="Times New Roman"/>
          <w:lang w:val="en-GB"/>
        </w:rPr>
        <w:t xml:space="preserve"> underscores the need </w:t>
      </w:r>
      <w:r w:rsidRPr="00A91E05" w:rsidR="004A7136">
        <w:rPr>
          <w:rFonts w:ascii="Times New Roman" w:hAnsi="Times New Roman" w:cs="Times New Roman"/>
          <w:lang w:val="en-GB"/>
        </w:rPr>
        <w:t xml:space="preserve">for </w:t>
      </w:r>
      <w:r w:rsidRPr="00A91E05">
        <w:rPr>
          <w:rFonts w:ascii="Times New Roman" w:hAnsi="Times New Roman" w:cs="Times New Roman"/>
          <w:lang w:val="en-GB"/>
        </w:rPr>
        <w:t>efficient planning to avoid empty runs and points to the need to include freight in urban mobility planning.</w:t>
      </w:r>
    </w:p>
    <w:p w:rsidRPr="00A91E05" w:rsidR="00D61B0B" w:rsidP="00EF4A90" w:rsidRDefault="00D61B0B" w14:paraId="4BAE9588" w14:textId="77777777">
      <w:pPr>
        <w:pStyle w:val="ListParagraph"/>
        <w:spacing w:after="0" w:line="288" w:lineRule="auto"/>
        <w:ind w:left="567" w:hanging="567"/>
        <w:jc w:val="both"/>
        <w:rPr>
          <w:rFonts w:ascii="Times New Roman" w:hAnsi="Times New Roman" w:cs="Times New Roman"/>
          <w:lang w:val="en-GB"/>
        </w:rPr>
      </w:pPr>
    </w:p>
    <w:p w:rsidRPr="00A91E05" w:rsidR="00D61B0B" w:rsidP="00EF4A90" w:rsidRDefault="00D61B0B" w14:paraId="03AB6FA8" w14:textId="0912CF96">
      <w:pPr>
        <w:pStyle w:val="ListParagraph"/>
        <w:numPr>
          <w:ilvl w:val="1"/>
          <w:numId w:val="72"/>
        </w:numPr>
        <w:spacing w:after="0" w:line="288" w:lineRule="auto"/>
        <w:ind w:left="567" w:hanging="567"/>
        <w:jc w:val="both"/>
        <w:rPr>
          <w:rFonts w:ascii="Times New Roman" w:hAnsi="Times New Roman" w:cs="Times New Roman"/>
          <w:lang w:val="en-GB"/>
        </w:rPr>
      </w:pPr>
      <w:r w:rsidRPr="00A91E05">
        <w:rPr>
          <w:rFonts w:ascii="Times New Roman" w:hAnsi="Times New Roman" w:cs="Times New Roman"/>
          <w:lang w:val="en-GB"/>
        </w:rPr>
        <w:t xml:space="preserve">The SSM Strategy also pinpoints the problem of </w:t>
      </w:r>
      <w:r w:rsidRPr="00A91E05" w:rsidR="008C68A2">
        <w:rPr>
          <w:rFonts w:ascii="Times New Roman" w:hAnsi="Times New Roman" w:cs="Times New Roman"/>
          <w:lang w:val="en-GB"/>
        </w:rPr>
        <w:t xml:space="preserve">lack of </w:t>
      </w:r>
      <w:r w:rsidRPr="00A91E05">
        <w:rPr>
          <w:rFonts w:ascii="Times New Roman" w:hAnsi="Times New Roman" w:cs="Times New Roman"/>
          <w:lang w:val="en-GB"/>
        </w:rPr>
        <w:t>transhipment infrastructure, including inland multimodal terminals</w:t>
      </w:r>
      <w:r w:rsidRPr="00A91E05" w:rsidR="008C68A2">
        <w:rPr>
          <w:rFonts w:ascii="Times New Roman" w:hAnsi="Times New Roman" w:cs="Times New Roman"/>
          <w:lang w:val="en-GB"/>
        </w:rPr>
        <w:t>,</w:t>
      </w:r>
      <w:r w:rsidRPr="00A91E05">
        <w:rPr>
          <w:rFonts w:ascii="Times New Roman" w:hAnsi="Times New Roman" w:cs="Times New Roman"/>
          <w:lang w:val="en-GB"/>
        </w:rPr>
        <w:t xml:space="preserve"> and the need to improve transhipment technologies, including multimodal exchange of data </w:t>
      </w:r>
      <w:r w:rsidRPr="00A91E05" w:rsidR="008C68A2">
        <w:rPr>
          <w:rFonts w:ascii="Times New Roman" w:hAnsi="Times New Roman" w:cs="Times New Roman"/>
          <w:lang w:val="en-GB"/>
        </w:rPr>
        <w:t xml:space="preserve">and </w:t>
      </w:r>
      <w:r w:rsidRPr="00A91E05">
        <w:rPr>
          <w:rFonts w:ascii="Times New Roman" w:hAnsi="Times New Roman" w:cs="Times New Roman"/>
          <w:lang w:val="en-GB"/>
        </w:rPr>
        <w:t xml:space="preserve">smart traffic management systems in all modes. The Commission intends to make funding </w:t>
      </w:r>
      <w:r w:rsidRPr="00A91E05" w:rsidR="004A7136">
        <w:rPr>
          <w:rFonts w:ascii="Times New Roman" w:hAnsi="Times New Roman" w:cs="Times New Roman"/>
          <w:lang w:val="en-GB"/>
        </w:rPr>
        <w:t xml:space="preserve">available </w:t>
      </w:r>
      <w:r w:rsidRPr="00A91E05">
        <w:rPr>
          <w:rFonts w:ascii="Times New Roman" w:hAnsi="Times New Roman" w:cs="Times New Roman"/>
          <w:lang w:val="en-GB"/>
        </w:rPr>
        <w:t xml:space="preserve">and </w:t>
      </w:r>
      <w:r w:rsidRPr="00A91E05" w:rsidR="004A7136">
        <w:rPr>
          <w:rFonts w:ascii="Times New Roman" w:hAnsi="Times New Roman" w:cs="Times New Roman"/>
          <w:lang w:val="en-GB"/>
        </w:rPr>
        <w:t xml:space="preserve">to </w:t>
      </w:r>
      <w:r w:rsidRPr="00A91E05">
        <w:rPr>
          <w:rFonts w:ascii="Times New Roman" w:hAnsi="Times New Roman" w:cs="Times New Roman"/>
          <w:lang w:val="en-GB"/>
        </w:rPr>
        <w:t>gear policies</w:t>
      </w:r>
      <w:r w:rsidRPr="00A91E05" w:rsidR="004A7136">
        <w:rPr>
          <w:rFonts w:ascii="Times New Roman" w:hAnsi="Times New Roman" w:cs="Times New Roman"/>
          <w:lang w:val="en-GB"/>
        </w:rPr>
        <w:t>,</w:t>
      </w:r>
      <w:r w:rsidRPr="00A91E05">
        <w:rPr>
          <w:rFonts w:ascii="Times New Roman" w:hAnsi="Times New Roman" w:cs="Times New Roman"/>
          <w:lang w:val="en-GB"/>
        </w:rPr>
        <w:t xml:space="preserve"> including </w:t>
      </w:r>
      <w:r w:rsidR="004D26EC">
        <w:rPr>
          <w:rFonts w:ascii="Times New Roman" w:hAnsi="Times New Roman" w:cs="Times New Roman"/>
          <w:lang w:val="en-GB"/>
        </w:rPr>
        <w:t xml:space="preserve">on </w:t>
      </w:r>
      <w:r w:rsidRPr="00A91E05">
        <w:rPr>
          <w:rFonts w:ascii="Times New Roman" w:hAnsi="Times New Roman" w:cs="Times New Roman"/>
          <w:lang w:val="en-GB"/>
        </w:rPr>
        <w:t>R&amp;I</w:t>
      </w:r>
      <w:r w:rsidRPr="00A91E05" w:rsidR="004A7136">
        <w:rPr>
          <w:rFonts w:ascii="Times New Roman" w:hAnsi="Times New Roman" w:cs="Times New Roman"/>
          <w:lang w:val="en-GB"/>
        </w:rPr>
        <w:t>,</w:t>
      </w:r>
      <w:r w:rsidRPr="00A91E05">
        <w:rPr>
          <w:rFonts w:ascii="Times New Roman" w:hAnsi="Times New Roman" w:cs="Times New Roman"/>
          <w:lang w:val="en-GB"/>
        </w:rPr>
        <w:t xml:space="preserve"> to addressing these issues. State aid rules for rail may also be </w:t>
      </w:r>
      <w:r w:rsidRPr="00A91E05" w:rsidR="008C68A2">
        <w:rPr>
          <w:rFonts w:ascii="Times New Roman" w:hAnsi="Times New Roman" w:cs="Times New Roman"/>
          <w:lang w:val="en-GB"/>
        </w:rPr>
        <w:t xml:space="preserve">useful </w:t>
      </w:r>
      <w:r w:rsidRPr="00A91E05">
        <w:rPr>
          <w:rFonts w:ascii="Times New Roman" w:hAnsi="Times New Roman" w:cs="Times New Roman"/>
          <w:lang w:val="en-GB"/>
        </w:rPr>
        <w:t>in this regard.</w:t>
      </w:r>
    </w:p>
    <w:p w:rsidRPr="00A91E05" w:rsidR="00D61B0B" w:rsidP="00EF4A90" w:rsidRDefault="00D61B0B" w14:paraId="62E72D10" w14:textId="77777777">
      <w:pPr>
        <w:pStyle w:val="ListParagraph"/>
        <w:spacing w:after="0" w:line="288" w:lineRule="auto"/>
        <w:ind w:left="567" w:hanging="567"/>
        <w:jc w:val="both"/>
        <w:rPr>
          <w:rFonts w:ascii="Times New Roman" w:hAnsi="Times New Roman" w:cs="Times New Roman"/>
          <w:lang w:val="en-GB"/>
        </w:rPr>
      </w:pPr>
    </w:p>
    <w:p w:rsidRPr="00A91E05" w:rsidR="00D61B0B" w:rsidP="00EF4A90" w:rsidRDefault="00D61B0B" w14:paraId="59B89F05" w14:textId="77777777">
      <w:pPr>
        <w:pStyle w:val="ListParagraph"/>
        <w:numPr>
          <w:ilvl w:val="1"/>
          <w:numId w:val="72"/>
        </w:numPr>
        <w:spacing w:after="0" w:line="288" w:lineRule="auto"/>
        <w:ind w:left="567" w:hanging="567"/>
        <w:jc w:val="both"/>
        <w:rPr>
          <w:rFonts w:ascii="Times New Roman" w:hAnsi="Times New Roman" w:cs="Times New Roman"/>
          <w:lang w:val="en-GB"/>
        </w:rPr>
      </w:pPr>
      <w:r w:rsidRPr="00A91E05">
        <w:rPr>
          <w:rFonts w:ascii="Times New Roman" w:hAnsi="Times New Roman" w:cs="Times New Roman"/>
          <w:lang w:val="en-GB"/>
        </w:rPr>
        <w:t>In the Action Plan accompanying the SSM S</w:t>
      </w:r>
      <w:r w:rsidRPr="00A91E05" w:rsidR="008161A5">
        <w:rPr>
          <w:rFonts w:ascii="Times New Roman" w:hAnsi="Times New Roman" w:cs="Times New Roman"/>
          <w:lang w:val="en-GB"/>
        </w:rPr>
        <w:t>trategy</w:t>
      </w:r>
      <w:r w:rsidRPr="00A91E05">
        <w:rPr>
          <w:rFonts w:ascii="Times New Roman" w:hAnsi="Times New Roman" w:cs="Times New Roman"/>
          <w:lang w:val="en-GB"/>
        </w:rPr>
        <w:t xml:space="preserve"> the Commission </w:t>
      </w:r>
      <w:r w:rsidRPr="00A91E05" w:rsidR="004A7136">
        <w:rPr>
          <w:rFonts w:ascii="Times New Roman" w:hAnsi="Times New Roman" w:cs="Times New Roman"/>
          <w:lang w:val="en-GB"/>
        </w:rPr>
        <w:t xml:space="preserve">plans </w:t>
      </w:r>
      <w:r w:rsidRPr="00A91E05" w:rsidR="008C68A2">
        <w:rPr>
          <w:rFonts w:ascii="Times New Roman" w:hAnsi="Times New Roman" w:cs="Times New Roman"/>
          <w:lang w:val="en-GB"/>
        </w:rPr>
        <w:t xml:space="preserve">to carry out </w:t>
      </w:r>
      <w:r w:rsidRPr="00A91E05">
        <w:rPr>
          <w:rFonts w:ascii="Times New Roman" w:hAnsi="Times New Roman" w:cs="Times New Roman"/>
          <w:lang w:val="en-GB"/>
        </w:rPr>
        <w:t>a review of the regulatory framework for intermodal transport</w:t>
      </w:r>
      <w:r w:rsidRPr="00A91E05" w:rsidR="004A7136">
        <w:rPr>
          <w:rFonts w:ascii="Times New Roman" w:hAnsi="Times New Roman" w:cs="Times New Roman"/>
          <w:lang w:val="en-GB"/>
        </w:rPr>
        <w:t>,</w:t>
      </w:r>
      <w:r w:rsidRPr="00A91E05">
        <w:rPr>
          <w:rFonts w:ascii="Times New Roman" w:hAnsi="Times New Roman" w:cs="Times New Roman"/>
          <w:lang w:val="en-GB"/>
        </w:rPr>
        <w:t xml:space="preserve"> including the Directive</w:t>
      </w:r>
      <w:r w:rsidRPr="00A91E05" w:rsidR="004A7136">
        <w:rPr>
          <w:rFonts w:ascii="Times New Roman" w:hAnsi="Times New Roman" w:cs="Times New Roman"/>
          <w:lang w:val="en-GB"/>
        </w:rPr>
        <w:t>,</w:t>
      </w:r>
      <w:r w:rsidRPr="00A91E05">
        <w:rPr>
          <w:rFonts w:ascii="Times New Roman" w:hAnsi="Times New Roman" w:cs="Times New Roman"/>
          <w:lang w:val="en-GB"/>
        </w:rPr>
        <w:t xml:space="preserve"> in 2022.</w:t>
      </w:r>
    </w:p>
    <w:p w:rsidRPr="00A91E05" w:rsidR="00D61B0B" w:rsidP="00EF4A90" w:rsidRDefault="00D61B0B" w14:paraId="1AB9655A" w14:textId="77777777">
      <w:pPr>
        <w:pStyle w:val="ListParagraph"/>
        <w:spacing w:after="0" w:line="288" w:lineRule="auto"/>
        <w:ind w:left="567" w:hanging="567"/>
        <w:jc w:val="both"/>
        <w:rPr>
          <w:rFonts w:ascii="Times New Roman" w:hAnsi="Times New Roman" w:cs="Times New Roman"/>
          <w:lang w:val="en-GB"/>
        </w:rPr>
      </w:pPr>
    </w:p>
    <w:p w:rsidRPr="00A91E05" w:rsidR="00D61B0B" w:rsidP="00EF4A90" w:rsidRDefault="00D61B0B" w14:paraId="5571DBB3" w14:textId="29C23050">
      <w:pPr>
        <w:pStyle w:val="ListParagraph"/>
        <w:numPr>
          <w:ilvl w:val="1"/>
          <w:numId w:val="72"/>
        </w:numPr>
        <w:spacing w:after="0" w:line="288" w:lineRule="auto"/>
        <w:ind w:left="567" w:hanging="567"/>
        <w:jc w:val="both"/>
        <w:rPr>
          <w:rFonts w:ascii="Times New Roman" w:hAnsi="Times New Roman" w:cs="Times New Roman"/>
          <w:lang w:val="en-GB"/>
        </w:rPr>
      </w:pPr>
      <w:r w:rsidRPr="00A91E05">
        <w:rPr>
          <w:rFonts w:ascii="Times New Roman" w:hAnsi="Times New Roman" w:cs="Times New Roman"/>
          <w:lang w:val="en-GB"/>
        </w:rPr>
        <w:t xml:space="preserve">In a 2017 proposal </w:t>
      </w:r>
      <w:r w:rsidRPr="00A91E05" w:rsidR="008C68A2">
        <w:rPr>
          <w:rFonts w:ascii="Times New Roman" w:hAnsi="Times New Roman" w:cs="Times New Roman"/>
          <w:lang w:val="en-GB"/>
        </w:rPr>
        <w:t>(</w:t>
      </w:r>
      <w:r w:rsidRPr="00A91E05">
        <w:rPr>
          <w:rFonts w:ascii="Times New Roman" w:hAnsi="Times New Roman" w:cs="Times New Roman"/>
          <w:lang w:val="en-GB"/>
        </w:rPr>
        <w:t>COM(2017) 648</w:t>
      </w:r>
      <w:r w:rsidRPr="00A91E05" w:rsidR="008C68A2">
        <w:rPr>
          <w:rFonts w:ascii="Times New Roman" w:hAnsi="Times New Roman" w:cs="Times New Roman"/>
          <w:lang w:val="en-GB"/>
        </w:rPr>
        <w:t>)</w:t>
      </w:r>
      <w:r w:rsidRPr="00A91E05" w:rsidR="004A7136">
        <w:rPr>
          <w:rFonts w:ascii="Times New Roman" w:hAnsi="Times New Roman" w:cs="Times New Roman"/>
          <w:lang w:val="en-GB"/>
        </w:rPr>
        <w:t>,</w:t>
      </w:r>
      <w:r w:rsidRPr="00A91E05">
        <w:rPr>
          <w:rFonts w:ascii="Times New Roman" w:hAnsi="Times New Roman" w:cs="Times New Roman"/>
          <w:lang w:val="en-GB"/>
        </w:rPr>
        <w:t xml:space="preserve"> the Commission proposed amendments to the Directive highlighting the need for better Member State coordination regarding </w:t>
      </w:r>
      <w:r w:rsidRPr="00A91E05" w:rsidR="004A7136">
        <w:rPr>
          <w:rFonts w:ascii="Times New Roman" w:hAnsi="Times New Roman" w:cs="Times New Roman"/>
          <w:lang w:val="en-GB"/>
        </w:rPr>
        <w:t xml:space="preserve">the </w:t>
      </w:r>
      <w:r w:rsidRPr="00A91E05">
        <w:rPr>
          <w:rFonts w:ascii="Times New Roman" w:hAnsi="Times New Roman" w:cs="Times New Roman"/>
          <w:lang w:val="en-GB"/>
        </w:rPr>
        <w:t>construction of intermodal terminals and various administrative simplifications, but also maintaining the need for a promotional approach including dedicated rules on market access</w:t>
      </w:r>
      <w:r w:rsidRPr="00A91E05" w:rsidR="00E07B48">
        <w:rPr>
          <w:rFonts w:ascii="Times New Roman" w:hAnsi="Times New Roman" w:cs="Times New Roman"/>
          <w:lang w:val="en-GB"/>
        </w:rPr>
        <w:t>,</w:t>
      </w:r>
      <w:r w:rsidRPr="00A91E05">
        <w:rPr>
          <w:rFonts w:ascii="Times New Roman" w:hAnsi="Times New Roman" w:cs="Times New Roman"/>
          <w:lang w:val="en-GB"/>
        </w:rPr>
        <w:t xml:space="preserve"> in particular with respect to the road transport leg. Considerable changes were made to the proposal during the legislative process and the Commission therefore chose to withdraw it.</w:t>
      </w:r>
    </w:p>
    <w:p w:rsidRPr="00A91E05" w:rsidR="00D61B0B" w:rsidP="00EF4A90" w:rsidRDefault="00D61B0B" w14:paraId="0C06501A" w14:textId="77777777">
      <w:pPr>
        <w:pStyle w:val="ListParagraph"/>
        <w:spacing w:after="0" w:line="288" w:lineRule="auto"/>
        <w:ind w:left="567" w:hanging="567"/>
        <w:jc w:val="both"/>
        <w:rPr>
          <w:rFonts w:ascii="Times New Roman" w:hAnsi="Times New Roman" w:cs="Times New Roman"/>
          <w:lang w:val="en-GB"/>
        </w:rPr>
      </w:pPr>
    </w:p>
    <w:p w:rsidRPr="00A91E05" w:rsidR="00D61B0B" w:rsidP="003D1E0E" w:rsidRDefault="00D61B0B" w14:paraId="693BA266" w14:textId="7954ED71">
      <w:pPr>
        <w:pStyle w:val="ListParagraph"/>
        <w:numPr>
          <w:ilvl w:val="1"/>
          <w:numId w:val="72"/>
        </w:numPr>
        <w:spacing w:after="0" w:line="288" w:lineRule="auto"/>
        <w:ind w:left="567" w:hanging="567"/>
        <w:jc w:val="both"/>
        <w:rPr>
          <w:rFonts w:ascii="Times New Roman" w:hAnsi="Times New Roman" w:cs="Times New Roman"/>
          <w:lang w:val="en-GB"/>
        </w:rPr>
      </w:pPr>
      <w:r w:rsidRPr="00A91E05">
        <w:rPr>
          <w:rFonts w:ascii="Times New Roman" w:hAnsi="Times New Roman" w:cs="Times New Roman"/>
          <w:lang w:val="en-GB"/>
        </w:rPr>
        <w:t xml:space="preserve">However, through </w:t>
      </w:r>
      <w:r w:rsidRPr="00A91E05" w:rsidR="008C68A2">
        <w:rPr>
          <w:rFonts w:ascii="Times New Roman" w:hAnsi="Times New Roman" w:cs="Times New Roman"/>
          <w:lang w:val="en-GB"/>
        </w:rPr>
        <w:t>Regulation EU 2020/1055, which amended</w:t>
      </w:r>
      <w:r w:rsidRPr="00A91E05">
        <w:rPr>
          <w:rFonts w:ascii="Times New Roman" w:hAnsi="Times New Roman" w:cs="Times New Roman"/>
          <w:lang w:val="en-GB"/>
        </w:rPr>
        <w:t xml:space="preserve"> Regulation EC 2009/1072</w:t>
      </w:r>
      <w:r w:rsidRPr="00A91E05" w:rsidR="008C68A2">
        <w:rPr>
          <w:rFonts w:ascii="Times New Roman" w:hAnsi="Times New Roman" w:cs="Times New Roman"/>
          <w:lang w:val="en-GB"/>
        </w:rPr>
        <w:t>,</w:t>
      </w:r>
      <w:r w:rsidRPr="00A91E05">
        <w:rPr>
          <w:rFonts w:ascii="Times New Roman" w:hAnsi="Times New Roman" w:cs="Times New Roman"/>
          <w:lang w:val="en-GB"/>
        </w:rPr>
        <w:t xml:space="preserve"> Member States were given the possibility to deviate from the dedicated rules on market access to the road transport leg and apply ordinary cabotage rules.</w:t>
      </w:r>
    </w:p>
    <w:p w:rsidRPr="00A91E05" w:rsidR="00D61B0B" w:rsidP="00EF4A90" w:rsidRDefault="00D61B0B" w14:paraId="2FD222A9" w14:textId="77777777">
      <w:pPr>
        <w:pStyle w:val="ListParagraph"/>
        <w:spacing w:after="0" w:line="288" w:lineRule="auto"/>
        <w:ind w:left="567" w:hanging="567"/>
        <w:rPr>
          <w:rFonts w:ascii="Times New Roman" w:hAnsi="Times New Roman" w:cs="Times New Roman"/>
          <w:lang w:val="en-GB"/>
        </w:rPr>
      </w:pPr>
    </w:p>
    <w:p w:rsidRPr="00A91E05" w:rsidR="00D61B0B" w:rsidP="00EF4A90" w:rsidRDefault="00D61B0B" w14:paraId="2B886DAF" w14:textId="77777777">
      <w:pPr>
        <w:pStyle w:val="Heading1"/>
        <w:keepNext/>
        <w:ind w:left="567" w:hanging="567"/>
        <w:rPr>
          <w:szCs w:val="22"/>
        </w:rPr>
      </w:pPr>
      <w:r w:rsidRPr="00A91E05">
        <w:rPr>
          <w:b/>
          <w:bCs/>
          <w:szCs w:val="22"/>
        </w:rPr>
        <w:t>General comments</w:t>
      </w:r>
    </w:p>
    <w:p w:rsidRPr="00A91E05" w:rsidR="00D61B0B" w:rsidP="00EF4A90" w:rsidRDefault="00D61B0B" w14:paraId="2BE4A692" w14:textId="77777777">
      <w:pPr>
        <w:keepNext/>
        <w:ind w:left="567" w:hanging="567"/>
        <w:rPr>
          <w:szCs w:val="22"/>
        </w:rPr>
      </w:pPr>
    </w:p>
    <w:p w:rsidRPr="00A91E05" w:rsidR="00FF5938" w:rsidP="003D1E0E" w:rsidRDefault="00D61B0B" w14:paraId="7DD6FA43" w14:textId="3A39BEEC">
      <w:pPr>
        <w:pStyle w:val="Heading2"/>
        <w:ind w:left="567" w:hanging="567"/>
      </w:pPr>
      <w:r w:rsidRPr="00A91E05">
        <w:t xml:space="preserve">A </w:t>
      </w:r>
      <w:r w:rsidRPr="001D6BD0" w:rsidR="00C26E21">
        <w:t xml:space="preserve">viable </w:t>
      </w:r>
      <w:r w:rsidRPr="002A068C">
        <w:t>long</w:t>
      </w:r>
      <w:r w:rsidRPr="00CD3799" w:rsidR="00E07B48">
        <w:t>-</w:t>
      </w:r>
      <w:r w:rsidRPr="00CD3799">
        <w:t xml:space="preserve">term </w:t>
      </w:r>
      <w:r w:rsidRPr="00A91E05">
        <w:t xml:space="preserve">solution </w:t>
      </w:r>
      <w:r w:rsidRPr="00A91E05" w:rsidR="006A4733">
        <w:t>for developing</w:t>
      </w:r>
      <w:r w:rsidRPr="00A91E05">
        <w:t xml:space="preserve"> efficient and sustainable multimodal transport and logistics </w:t>
      </w:r>
      <w:r w:rsidRPr="00A91E05" w:rsidR="00FF5938">
        <w:t xml:space="preserve">can only be achieved by </w:t>
      </w:r>
      <w:r w:rsidRPr="00A91E05">
        <w:t xml:space="preserve"> dealing with the problems that make multimodal transport more expensive, slower and less reliable than</w:t>
      </w:r>
      <w:r w:rsidRPr="00A91E05" w:rsidR="006F1A2D">
        <w:t>,</w:t>
      </w:r>
      <w:r w:rsidRPr="00A91E05">
        <w:t xml:space="preserve"> in particular</w:t>
      </w:r>
      <w:r w:rsidRPr="00A91E05" w:rsidR="006F1A2D">
        <w:t>,</w:t>
      </w:r>
      <w:r w:rsidRPr="00A91E05">
        <w:t xml:space="preserve"> unimodal </w:t>
      </w:r>
      <w:r w:rsidRPr="00A91E05" w:rsidR="006A4733">
        <w:t xml:space="preserve">road </w:t>
      </w:r>
      <w:r w:rsidRPr="00A91E05">
        <w:t>transport.</w:t>
      </w:r>
      <w:r w:rsidRPr="00A91E05" w:rsidR="006B40A0">
        <w:t xml:space="preserve"> </w:t>
      </w:r>
      <w:r w:rsidRPr="00A91E05" w:rsidR="00FF5938">
        <w:t>It cannot be built with financial promotion or regulatory support.</w:t>
      </w:r>
    </w:p>
    <w:p w:rsidRPr="00A91E05" w:rsidR="00A355AF" w:rsidP="00EF4A90" w:rsidRDefault="00A355AF" w14:paraId="3B4BEAA1" w14:textId="77777777">
      <w:pPr>
        <w:ind w:left="567" w:hanging="567"/>
        <w:rPr>
          <w:szCs w:val="22"/>
        </w:rPr>
      </w:pPr>
    </w:p>
    <w:p w:rsidRPr="00A91E05" w:rsidR="00D61B0B" w:rsidP="003D1E0E" w:rsidRDefault="006A4733" w14:paraId="6A74F9ED" w14:textId="1D6C7DB9">
      <w:pPr>
        <w:pStyle w:val="Heading2"/>
        <w:ind w:left="567" w:hanging="567"/>
      </w:pPr>
      <w:r w:rsidRPr="00A91E05">
        <w:t>This kind of</w:t>
      </w:r>
      <w:r w:rsidRPr="00A91E05" w:rsidR="00D61B0B">
        <w:t xml:space="preserve"> approach would also </w:t>
      </w:r>
      <w:r w:rsidRPr="00A91E05">
        <w:t>make</w:t>
      </w:r>
      <w:r w:rsidRPr="00A91E05" w:rsidR="00D61B0B">
        <w:t xml:space="preserve"> it possible to dispense with complex rules defining combined or multimodal transport</w:t>
      </w:r>
      <w:r w:rsidRPr="00A91E05">
        <w:t xml:space="preserve"> and</w:t>
      </w:r>
      <w:r w:rsidRPr="00A91E05" w:rsidR="00D61B0B">
        <w:t xml:space="preserve"> </w:t>
      </w:r>
      <w:r w:rsidRPr="00A91E05" w:rsidR="006F1A2D">
        <w:t xml:space="preserve">ensuring </w:t>
      </w:r>
      <w:r w:rsidRPr="00A91E05" w:rsidR="00D61B0B">
        <w:t xml:space="preserve">that </w:t>
      </w:r>
      <w:r w:rsidRPr="00A91E05">
        <w:t>operators</w:t>
      </w:r>
      <w:r w:rsidRPr="00A91E05" w:rsidR="00D61B0B">
        <w:t xml:space="preserve"> are entitled to financial support </w:t>
      </w:r>
      <w:r w:rsidRPr="00A91E05">
        <w:t xml:space="preserve">and </w:t>
      </w:r>
      <w:r w:rsidRPr="00A91E05" w:rsidR="00D61B0B">
        <w:t xml:space="preserve">dedicated rules on market access. It would therefore </w:t>
      </w:r>
      <w:r w:rsidRPr="00A91E05" w:rsidR="006F1A2D">
        <w:t xml:space="preserve">also </w:t>
      </w:r>
      <w:r w:rsidRPr="00A91E05" w:rsidR="00D61B0B">
        <w:t>be resource</w:t>
      </w:r>
      <w:r w:rsidRPr="00A91E05" w:rsidR="006F1A2D">
        <w:t>-</w:t>
      </w:r>
      <w:r w:rsidRPr="00A91E05" w:rsidR="00D61B0B">
        <w:t>efficient from a regulatory point of view.</w:t>
      </w:r>
    </w:p>
    <w:p w:rsidRPr="00A91E05" w:rsidR="00095941" w:rsidP="00EF4A90" w:rsidRDefault="00095941" w14:paraId="24A4F854" w14:textId="77777777">
      <w:pPr>
        <w:ind w:left="567" w:hanging="567"/>
      </w:pPr>
    </w:p>
    <w:p w:rsidRPr="00A91E05" w:rsidR="004E158A" w:rsidP="00EF4A90" w:rsidRDefault="004E158A" w14:paraId="67D77253" w14:textId="77777777">
      <w:pPr>
        <w:pStyle w:val="Heading2"/>
        <w:ind w:left="567" w:hanging="567"/>
      </w:pPr>
      <w:r w:rsidRPr="00A91E05">
        <w:t xml:space="preserve">To improve multimodal traffic, the EESC recommends, </w:t>
      </w:r>
      <w:r w:rsidRPr="00A91E05" w:rsidR="006A4733">
        <w:t>in addition</w:t>
      </w:r>
      <w:r w:rsidRPr="00A91E05">
        <w:t xml:space="preserve"> to technical innovation and solution of competitiveness, full internalisation of external costs for all transport modes to achieve a level playing field. The EESC calls for serious measures to safeguard and/or relaunch a European wagon</w:t>
      </w:r>
      <w:r w:rsidR="00DA6624">
        <w:t xml:space="preserve"> </w:t>
      </w:r>
      <w:r w:rsidRPr="00A91E05">
        <w:t xml:space="preserve">load system, link of strategic infrastructure (e.g. ports) to rail solutions, investment in industrial sidings, </w:t>
      </w:r>
      <w:r w:rsidR="00DA6624">
        <w:t xml:space="preserve">and </w:t>
      </w:r>
      <w:r w:rsidRPr="00A91E05">
        <w:t>involvement of large logistics companies in a modal reorientation of their flows.</w:t>
      </w:r>
    </w:p>
    <w:p w:rsidRPr="00A91E05" w:rsidR="004E158A" w:rsidP="00EF4A90" w:rsidRDefault="004E158A" w14:paraId="4F49C2C0" w14:textId="77777777">
      <w:pPr>
        <w:pStyle w:val="Heading1"/>
        <w:numPr>
          <w:ilvl w:val="0"/>
          <w:numId w:val="0"/>
        </w:numPr>
        <w:ind w:left="567" w:hanging="567"/>
      </w:pPr>
    </w:p>
    <w:p w:rsidRPr="00A91E05" w:rsidR="004E158A" w:rsidP="00EF4A90" w:rsidRDefault="004E158A" w14:paraId="5BC12F77" w14:textId="77777777">
      <w:pPr>
        <w:pStyle w:val="Heading2"/>
        <w:ind w:left="567" w:hanging="567"/>
      </w:pPr>
      <w:r w:rsidRPr="00A91E05">
        <w:t>In order to ensure fair competition between transport modes, the EESC recommends socially exemplary behaviour by all transport modes to ensure high-quality transport services, high-quality jobs and good social conditions with a view to achieving a level playing field for all market players.</w:t>
      </w:r>
    </w:p>
    <w:p w:rsidRPr="00A91E05" w:rsidR="00A355AF" w:rsidP="00EF4A90" w:rsidRDefault="00A355AF" w14:paraId="1D46E1C4" w14:textId="77777777">
      <w:pPr>
        <w:ind w:left="567" w:hanging="567"/>
        <w:rPr>
          <w:szCs w:val="22"/>
        </w:rPr>
      </w:pPr>
    </w:p>
    <w:p w:rsidR="00C009E9" w:rsidP="00EF4A90" w:rsidRDefault="00C009E9" w14:paraId="434FE782" w14:textId="77777777">
      <w:pPr>
        <w:pStyle w:val="Heading2"/>
        <w:ind w:left="567" w:hanging="567"/>
      </w:pPr>
      <w:r w:rsidRPr="00A91E05">
        <w:t>The EESC underlines that skilled and motivated workers and good working conditions are an important prerequisite for the successful evolution of multimodal transport. The EESC asks for a review of posting rules to take into account the situation of highly mobile railway staff. Furthermore, the EESC recommends simple, clear and verifiable regulations and an adequate</w:t>
      </w:r>
      <w:r w:rsidRPr="002A068C">
        <w:t xml:space="preserve"> compliance monitoring system to</w:t>
      </w:r>
      <w:r w:rsidRPr="00CD3799">
        <w:t xml:space="preserve"> ensure</w:t>
      </w:r>
      <w:r w:rsidRPr="00A91E05">
        <w:t xml:space="preserve"> fair working conditions (training, working hours and rest periods, language level, pay, occupational health and safety, modern sanitary facilities, suitable overnight accommodation, etc.) for all transport workers to ensure health and fair competition.</w:t>
      </w:r>
    </w:p>
    <w:p w:rsidRPr="00C009E9" w:rsidR="00C009E9" w:rsidP="00EF4A90" w:rsidRDefault="00C009E9" w14:paraId="6B712EC1" w14:textId="77777777"/>
    <w:p w:rsidRPr="00A91E05" w:rsidR="00D61B0B" w:rsidP="003D1E0E" w:rsidRDefault="00D61B0B" w14:paraId="701B9BB8" w14:textId="661FE0D8">
      <w:pPr>
        <w:pStyle w:val="Heading2"/>
        <w:ind w:left="567" w:hanging="567"/>
      </w:pPr>
      <w:r w:rsidRPr="00A91E05">
        <w:t>Problems relating to multimodal transport are</w:t>
      </w:r>
      <w:r w:rsidRPr="00A91E05" w:rsidR="006F1A2D">
        <w:t xml:space="preserve"> -</w:t>
      </w:r>
      <w:r w:rsidRPr="00A91E05">
        <w:t xml:space="preserve"> apart from additional costs due to transhipment and additional transaction costs </w:t>
      </w:r>
      <w:r w:rsidRPr="00A91E05" w:rsidR="006F1A2D">
        <w:t xml:space="preserve">- </w:t>
      </w:r>
      <w:r w:rsidRPr="00A91E05">
        <w:t>disadvantages such as long delivery time</w:t>
      </w:r>
      <w:r w:rsidRPr="00A91E05" w:rsidR="006A4733">
        <w:t>s</w:t>
      </w:r>
      <w:r w:rsidRPr="00A91E05">
        <w:t>, complexity, higher risk and lower reliability</w:t>
      </w:r>
      <w:r w:rsidRPr="00A91E05" w:rsidR="006A4733">
        <w:t>.</w:t>
      </w:r>
      <w:r w:rsidRPr="00A91E05">
        <w:t xml:space="preserve"> </w:t>
      </w:r>
      <w:r w:rsidRPr="00A91E05" w:rsidR="006A4733">
        <w:t xml:space="preserve">These </w:t>
      </w:r>
      <w:r w:rsidRPr="00A91E05" w:rsidR="006F1A2D">
        <w:t>make it difficult for</w:t>
      </w:r>
      <w:r w:rsidRPr="00A91E05">
        <w:t xml:space="preserve"> multimodality to take off.</w:t>
      </w:r>
    </w:p>
    <w:p w:rsidRPr="00A91E05" w:rsidR="00A355AF" w:rsidP="00EF4A90" w:rsidRDefault="00A355AF" w14:paraId="6E31DA8D" w14:textId="77777777">
      <w:pPr>
        <w:ind w:left="567" w:hanging="567"/>
        <w:rPr>
          <w:szCs w:val="22"/>
        </w:rPr>
      </w:pPr>
    </w:p>
    <w:p w:rsidRPr="00A91E05" w:rsidR="00D61B0B" w:rsidP="003D1E0E" w:rsidRDefault="00D61B0B" w14:paraId="099A450B" w14:textId="3868002E">
      <w:pPr>
        <w:pStyle w:val="Heading2"/>
        <w:ind w:left="567" w:hanging="567"/>
      </w:pPr>
      <w:r w:rsidRPr="00A91E05">
        <w:t>A recent study</w:t>
      </w:r>
      <w:r w:rsidRPr="002A068C">
        <w:rPr>
          <w:rStyle w:val="FootnoteReference"/>
          <w:sz w:val="22"/>
          <w:szCs w:val="22"/>
        </w:rPr>
        <w:footnoteReference w:id="2"/>
      </w:r>
      <w:r w:rsidRPr="002A068C">
        <w:t xml:space="preserve"> shows a considerable cost difference between unimodal (road only) and intermodal solutions. The addition</w:t>
      </w:r>
      <w:r w:rsidRPr="00CD3799" w:rsidR="00B86ADD">
        <w:t>al</w:t>
      </w:r>
      <w:r w:rsidRPr="00CD3799">
        <w:t xml:space="preserve"> costs stem from the extra work involved in organising mult</w:t>
      </w:r>
      <w:r w:rsidRPr="00A91E05">
        <w:t>imodal transport (</w:t>
      </w:r>
      <w:r w:rsidRPr="00A91E05" w:rsidR="009148DF">
        <w:t>EUR</w:t>
      </w:r>
      <w:r w:rsidRPr="00A91E05" w:rsidR="009A057D">
        <w:t> </w:t>
      </w:r>
      <w:r w:rsidRPr="00A91E05">
        <w:t>50</w:t>
      </w:r>
      <w:r w:rsidRPr="00A91E05" w:rsidR="009148DF">
        <w:t>-</w:t>
      </w:r>
      <w:r w:rsidRPr="00A91E05">
        <w:t>100 per shipment), longer transit times (</w:t>
      </w:r>
      <w:r w:rsidRPr="00A91E05" w:rsidR="00DA6EAA">
        <w:t xml:space="preserve">ranging </w:t>
      </w:r>
      <w:r w:rsidRPr="00A91E05">
        <w:t>from 4 to 120</w:t>
      </w:r>
      <w:r w:rsidRPr="00A91E05" w:rsidR="009A057D">
        <w:t> </w:t>
      </w:r>
      <w:r w:rsidRPr="00A91E05">
        <w:t xml:space="preserve">hours) with an average of 25 hours, </w:t>
      </w:r>
      <w:r w:rsidRPr="00A91E05" w:rsidR="009148DF">
        <w:t xml:space="preserve">incurring </w:t>
      </w:r>
      <w:r w:rsidRPr="00A91E05">
        <w:t xml:space="preserve">an additional cost of </w:t>
      </w:r>
      <w:r w:rsidRPr="00A91E05" w:rsidR="009148DF">
        <w:t>EUR</w:t>
      </w:r>
      <w:r w:rsidRPr="00A91E05" w:rsidR="009A057D">
        <w:t> </w:t>
      </w:r>
      <w:r w:rsidRPr="00A91E05">
        <w:t>75</w:t>
      </w:r>
      <w:r w:rsidRPr="00A91E05" w:rsidR="009148DF">
        <w:t>-1</w:t>
      </w:r>
      <w:r w:rsidRPr="00A91E05">
        <w:t>00 per shipment and a lack of harmonised document procedure</w:t>
      </w:r>
      <w:r w:rsidRPr="00A91E05" w:rsidR="00DA6EAA">
        <w:t>s</w:t>
      </w:r>
      <w:r w:rsidRPr="00A91E05">
        <w:t xml:space="preserve">, causing a loss per shipment of </w:t>
      </w:r>
      <w:r w:rsidRPr="00A91E05" w:rsidR="003F20CE">
        <w:t>EUR</w:t>
      </w:r>
      <w:r w:rsidRPr="00A91E05" w:rsidR="009A057D">
        <w:t> </w:t>
      </w:r>
      <w:r w:rsidRPr="00A91E05" w:rsidR="009148DF">
        <w:t>5</w:t>
      </w:r>
      <w:r w:rsidRPr="00A91E05" w:rsidR="00DA6EAA">
        <w:noBreakHyphen/>
      </w:r>
      <w:r w:rsidRPr="00A91E05" w:rsidR="009148DF">
        <w:t>150</w:t>
      </w:r>
      <w:r w:rsidRPr="00A91E05">
        <w:t>.</w:t>
      </w:r>
    </w:p>
    <w:p w:rsidRPr="00A91E05" w:rsidR="00A355AF" w:rsidP="00EF4A90" w:rsidRDefault="00A355AF" w14:paraId="7E57672C" w14:textId="77777777">
      <w:pPr>
        <w:ind w:left="567" w:hanging="567"/>
        <w:rPr>
          <w:szCs w:val="22"/>
        </w:rPr>
      </w:pPr>
    </w:p>
    <w:p w:rsidRPr="00A91E05" w:rsidR="00D61B0B" w:rsidP="003D1E0E" w:rsidRDefault="00D61B0B" w14:paraId="7A1DFB51" w14:textId="08DBBBEE">
      <w:pPr>
        <w:pStyle w:val="Heading2"/>
        <w:ind w:left="567" w:hanging="567"/>
      </w:pPr>
      <w:r w:rsidRPr="00A91E05">
        <w:t xml:space="preserve">The study nevertheless concludes that a </w:t>
      </w:r>
      <w:r w:rsidRPr="00A91E05" w:rsidR="009148DF">
        <w:t xml:space="preserve">financial </w:t>
      </w:r>
      <w:r w:rsidRPr="00A91E05">
        <w:t xml:space="preserve">break-even point may be found on long distances and quotes, </w:t>
      </w:r>
      <w:r w:rsidRPr="00A91E05" w:rsidR="00514BAC">
        <w:t>not</w:t>
      </w:r>
      <w:r w:rsidRPr="00A91E05" w:rsidR="00DA6EAA">
        <w:t xml:space="preserve"> </w:t>
      </w:r>
      <w:r w:rsidRPr="00A91E05">
        <w:t>counting support measures</w:t>
      </w:r>
      <w:r w:rsidRPr="00A91E05" w:rsidR="00DA6EAA">
        <w:t xml:space="preserve"> -</w:t>
      </w:r>
      <w:r w:rsidRPr="00A91E05">
        <w:t xml:space="preserve"> 595</w:t>
      </w:r>
      <w:r w:rsidRPr="00A91E05" w:rsidR="009A057D">
        <w:t> </w:t>
      </w:r>
      <w:r w:rsidRPr="00A91E05">
        <w:t>km for rail</w:t>
      </w:r>
      <w:r w:rsidRPr="00A91E05" w:rsidR="009148DF">
        <w:t>/</w:t>
      </w:r>
      <w:r w:rsidRPr="00A91E05">
        <w:t>road, 266</w:t>
      </w:r>
      <w:r w:rsidRPr="00A91E05" w:rsidR="009A057D">
        <w:t> </w:t>
      </w:r>
      <w:r w:rsidRPr="00A91E05">
        <w:t>km for inland waterways</w:t>
      </w:r>
      <w:r w:rsidRPr="00A91E05" w:rsidR="009148DF">
        <w:t>/</w:t>
      </w:r>
      <w:r w:rsidRPr="00A91E05">
        <w:t>road and 736</w:t>
      </w:r>
      <w:r w:rsidRPr="00A91E05" w:rsidR="009A057D">
        <w:t> </w:t>
      </w:r>
      <w:r w:rsidRPr="00A91E05">
        <w:t>km for short sea shipping</w:t>
      </w:r>
      <w:r w:rsidRPr="00A91E05" w:rsidR="009148DF">
        <w:t>/</w:t>
      </w:r>
      <w:r w:rsidRPr="00A91E05">
        <w:t xml:space="preserve">road. </w:t>
      </w:r>
    </w:p>
    <w:p w:rsidRPr="00A91E05" w:rsidR="00A355AF" w:rsidP="00EF4A90" w:rsidRDefault="00A355AF" w14:paraId="6B3F47D6" w14:textId="77777777">
      <w:pPr>
        <w:ind w:left="567" w:hanging="567"/>
        <w:rPr>
          <w:szCs w:val="22"/>
        </w:rPr>
      </w:pPr>
    </w:p>
    <w:p w:rsidRPr="00A91E05" w:rsidR="00D61B0B" w:rsidP="003D1E0E" w:rsidRDefault="00D61B0B" w14:paraId="75B3CEDB" w14:textId="2D8DE8A4">
      <w:pPr>
        <w:pStyle w:val="Heading2"/>
        <w:ind w:left="567" w:hanging="567"/>
      </w:pPr>
      <w:r w:rsidRPr="00A91E05">
        <w:t>In particular</w:t>
      </w:r>
      <w:r w:rsidRPr="00A91E05" w:rsidR="009450D5">
        <w:t>,</w:t>
      </w:r>
      <w:r w:rsidRPr="00A91E05">
        <w:t xml:space="preserve"> the study deplores the frequent absence of track and tracing facilities and problems </w:t>
      </w:r>
      <w:r w:rsidRPr="00A91E05" w:rsidR="00DA6EAA">
        <w:t xml:space="preserve">and </w:t>
      </w:r>
      <w:r w:rsidRPr="00A91E05" w:rsidR="009450D5">
        <w:t xml:space="preserve">the </w:t>
      </w:r>
      <w:r w:rsidRPr="00A91E05" w:rsidR="00DA6EAA">
        <w:t>fact</w:t>
      </w:r>
      <w:r w:rsidR="00BB37D9">
        <w:t xml:space="preserve"> that</w:t>
      </w:r>
      <w:r w:rsidRPr="00A91E05" w:rsidR="00DA6EAA">
        <w:t xml:space="preserve"> it is impossible to use</w:t>
      </w:r>
      <w:r w:rsidRPr="00A91E05" w:rsidR="009450D5">
        <w:t xml:space="preserve"> </w:t>
      </w:r>
      <w:r w:rsidRPr="00A91E05">
        <w:t>documents in electronic form.</w:t>
      </w:r>
    </w:p>
    <w:p w:rsidRPr="00A91E05" w:rsidR="00A355AF" w:rsidP="00EF4A90" w:rsidRDefault="00A355AF" w14:paraId="0E1399FA" w14:textId="77777777">
      <w:pPr>
        <w:ind w:left="567" w:hanging="567"/>
        <w:rPr>
          <w:szCs w:val="22"/>
        </w:rPr>
      </w:pPr>
    </w:p>
    <w:p w:rsidRPr="00CD3799" w:rsidR="00D61B0B" w:rsidP="003D1E0E" w:rsidRDefault="00D61B0B" w14:paraId="2106CD63" w14:textId="38229799">
      <w:pPr>
        <w:pStyle w:val="Heading2"/>
        <w:ind w:left="567" w:hanging="567"/>
      </w:pPr>
      <w:r w:rsidRPr="00A91E05">
        <w:t xml:space="preserve">An impact assessment of the 2017 legislative proposal concerning the Directive shows an overall additional cost for intermodal transport solutions of almost 60%, </w:t>
      </w:r>
      <w:r w:rsidRPr="00A91E05" w:rsidR="00DA6EAA">
        <w:t>mainly</w:t>
      </w:r>
      <w:r w:rsidRPr="00A91E05">
        <w:t xml:space="preserve"> due to implementation, delays, transaction costs</w:t>
      </w:r>
      <w:r w:rsidRPr="00A91E05" w:rsidR="003F20CE">
        <w:t>,</w:t>
      </w:r>
      <w:r w:rsidRPr="00A91E05">
        <w:t xml:space="preserve"> etc</w:t>
      </w:r>
      <w:r w:rsidRPr="002A068C">
        <w:rPr>
          <w:rStyle w:val="FootnoteReference"/>
          <w:sz w:val="22"/>
          <w:szCs w:val="22"/>
        </w:rPr>
        <w:footnoteReference w:id="3"/>
      </w:r>
      <w:r w:rsidRPr="002A068C" w:rsidR="00846CD8">
        <w:t>.</w:t>
      </w:r>
    </w:p>
    <w:p w:rsidRPr="00A91E05" w:rsidR="00A355AF" w:rsidP="00EF4A90" w:rsidRDefault="00A355AF" w14:paraId="1D01FFF8" w14:textId="77777777">
      <w:pPr>
        <w:ind w:left="567" w:hanging="567"/>
        <w:rPr>
          <w:szCs w:val="22"/>
        </w:rPr>
      </w:pPr>
    </w:p>
    <w:p w:rsidRPr="00A91E05" w:rsidR="00D61B0B" w:rsidP="003D1E0E" w:rsidRDefault="00DA6EAA" w14:paraId="70C59EFD" w14:textId="3D767860">
      <w:pPr>
        <w:pStyle w:val="Heading2"/>
        <w:ind w:left="567" w:hanging="567"/>
      </w:pPr>
      <w:r w:rsidRPr="00A91E05">
        <w:t xml:space="preserve">Clearly, therefore, measures </w:t>
      </w:r>
      <w:r w:rsidRPr="00A91E05" w:rsidR="00D61B0B">
        <w:t xml:space="preserve">need to be taken to </w:t>
      </w:r>
      <w:r w:rsidRPr="00A91E05">
        <w:t xml:space="preserve">make </w:t>
      </w:r>
      <w:r w:rsidRPr="00A91E05" w:rsidR="00D61B0B">
        <w:t>multimodal freight transport competitive in its own right and to resolve the problems set out above</w:t>
      </w:r>
      <w:r w:rsidRPr="00A91E05" w:rsidR="00514BAC">
        <w:t>,</w:t>
      </w:r>
      <w:r w:rsidRPr="00A91E05" w:rsidR="00D61B0B">
        <w:t xml:space="preserve"> </w:t>
      </w:r>
      <w:r w:rsidRPr="00A91E05" w:rsidR="00514BAC">
        <w:t xml:space="preserve">to </w:t>
      </w:r>
      <w:r w:rsidRPr="00A91E05" w:rsidR="00D61B0B">
        <w:t xml:space="preserve">achieve efficient and seamless multimodal freight transport flows at the same cost as unimodal transport. </w:t>
      </w:r>
    </w:p>
    <w:p w:rsidRPr="00A91E05" w:rsidR="00A355AF" w:rsidP="00EF4A90" w:rsidRDefault="00A355AF" w14:paraId="68713E34" w14:textId="77777777">
      <w:pPr>
        <w:ind w:left="567" w:hanging="567"/>
      </w:pPr>
    </w:p>
    <w:p w:rsidRPr="00A91E05" w:rsidR="00D61B0B" w:rsidP="003D1E0E" w:rsidRDefault="00D61B0B" w14:paraId="5B6C391D" w14:textId="77777777">
      <w:pPr>
        <w:pStyle w:val="Heading2"/>
        <w:ind w:left="567" w:hanging="567"/>
      </w:pPr>
      <w:bookmarkStart w:name="_Hlk71213575" w:id="1"/>
      <w:r w:rsidRPr="00A91E05">
        <w:t xml:space="preserve">In this context it may also be pointed out that </w:t>
      </w:r>
      <w:r w:rsidRPr="00A91E05" w:rsidR="009450D5">
        <w:t xml:space="preserve">rail </w:t>
      </w:r>
      <w:r w:rsidRPr="00A91E05">
        <w:t>need</w:t>
      </w:r>
      <w:r w:rsidRPr="00A91E05" w:rsidR="009450D5">
        <w:t>s</w:t>
      </w:r>
      <w:r w:rsidRPr="00A91E05">
        <w:t xml:space="preserve"> to adapt better to an open market context and remedy problems due to lack of punctuality, reliability, predictability and flexibility</w:t>
      </w:r>
      <w:r w:rsidRPr="00A91E05" w:rsidR="009450D5">
        <w:t>, which</w:t>
      </w:r>
      <w:r w:rsidRPr="00A91E05">
        <w:t xml:space="preserve"> obviously have a negative effect on multimodal solutions where rail is involved. </w:t>
      </w:r>
    </w:p>
    <w:p w:rsidRPr="00A91E05" w:rsidR="00A355AF" w:rsidP="00EF4A90" w:rsidRDefault="00A355AF" w14:paraId="61D800C6" w14:textId="77777777">
      <w:pPr>
        <w:ind w:left="567" w:hanging="567"/>
      </w:pPr>
    </w:p>
    <w:p w:rsidRPr="00A91E05" w:rsidR="00D61B0B" w:rsidP="00EF4A90" w:rsidRDefault="00C25751" w14:paraId="36A293B5" w14:textId="04F4D218">
      <w:pPr>
        <w:pStyle w:val="Heading2"/>
      </w:pPr>
      <w:r w:rsidRPr="00A91E05">
        <w:t>Regarding inland waterways transport, improvements seems to be needed with respect to cross-border transport capacity.</w:t>
      </w:r>
      <w:bookmarkEnd w:id="1"/>
    </w:p>
    <w:p w:rsidRPr="00A91E05" w:rsidR="00A355AF" w:rsidP="00EF4A90" w:rsidRDefault="00A355AF" w14:paraId="16095030" w14:textId="77777777">
      <w:pPr>
        <w:ind w:left="567" w:hanging="567"/>
      </w:pPr>
    </w:p>
    <w:p w:rsidRPr="00A91E05" w:rsidR="00D61B0B" w:rsidP="003D1E0E" w:rsidRDefault="00514BAC" w14:paraId="7E55F536" w14:textId="4EEE01AB">
      <w:pPr>
        <w:pStyle w:val="Heading2"/>
        <w:ind w:left="567" w:hanging="567"/>
      </w:pPr>
      <w:r w:rsidRPr="00A91E05">
        <w:t>B</w:t>
      </w:r>
      <w:r w:rsidRPr="00A91E05" w:rsidR="00D61B0B">
        <w:t xml:space="preserve">ottlenecks due to </w:t>
      </w:r>
      <w:r w:rsidRPr="00A91E05" w:rsidR="009450D5">
        <w:t xml:space="preserve">a lack of </w:t>
      </w:r>
      <w:r w:rsidRPr="00A91E05" w:rsidR="00D61B0B">
        <w:t>capacity in multimodal terminals and logistics hubs</w:t>
      </w:r>
      <w:r w:rsidRPr="00A91E05">
        <w:t xml:space="preserve"> cause further problems</w:t>
      </w:r>
      <w:r w:rsidRPr="00A91E05" w:rsidR="00D61B0B">
        <w:t>. The Commission Staff Working Paper accompanying the SSM Strategy</w:t>
      </w:r>
      <w:r w:rsidRPr="002A068C" w:rsidR="00D61B0B">
        <w:rPr>
          <w:rStyle w:val="FootnoteReference"/>
          <w:sz w:val="22"/>
          <w:szCs w:val="22"/>
        </w:rPr>
        <w:footnoteReference w:id="4"/>
      </w:r>
      <w:r w:rsidRPr="002A068C" w:rsidR="00D61B0B">
        <w:t xml:space="preserve"> estimates that distances over 300 km between terminals</w:t>
      </w:r>
      <w:r w:rsidRPr="00CD3799" w:rsidR="00F77360">
        <w:t>,</w:t>
      </w:r>
      <w:r w:rsidRPr="00CD3799" w:rsidR="00D61B0B">
        <w:t xml:space="preserve"> </w:t>
      </w:r>
      <w:r w:rsidRPr="00A91E05">
        <w:t>such as</w:t>
      </w:r>
      <w:r w:rsidRPr="00A91E05" w:rsidR="00D61B0B">
        <w:t xml:space="preserve"> in </w:t>
      </w:r>
      <w:r w:rsidRPr="00A91E05" w:rsidR="00F77360">
        <w:t xml:space="preserve">Finland, </w:t>
      </w:r>
      <w:r w:rsidRPr="00A91E05" w:rsidR="00D61B0B">
        <w:t>for instance</w:t>
      </w:r>
      <w:r w:rsidRPr="00A91E05" w:rsidR="00F77360">
        <w:t>,</w:t>
      </w:r>
      <w:r w:rsidRPr="00A91E05" w:rsidR="00D61B0B">
        <w:t xml:space="preserve"> and </w:t>
      </w:r>
      <w:r w:rsidRPr="00A91E05" w:rsidR="00F77360">
        <w:t xml:space="preserve">in </w:t>
      </w:r>
      <w:r w:rsidRPr="00A91E05" w:rsidR="00D61B0B">
        <w:t>part</w:t>
      </w:r>
      <w:r w:rsidRPr="00A91E05" w:rsidR="00F77360">
        <w:t>s</w:t>
      </w:r>
      <w:r w:rsidRPr="00A91E05" w:rsidR="00D61B0B">
        <w:t xml:space="preserve"> of Sweden</w:t>
      </w:r>
      <w:r w:rsidRPr="00A91E05" w:rsidR="00F77360">
        <w:t>,</w:t>
      </w:r>
      <w:r w:rsidRPr="00A91E05" w:rsidR="00D61B0B">
        <w:t xml:space="preserve"> are too long</w:t>
      </w:r>
      <w:r w:rsidRPr="00A91E05" w:rsidR="00F77360">
        <w:t>,</w:t>
      </w:r>
      <w:r w:rsidRPr="00A91E05" w:rsidR="00D61B0B">
        <w:t xml:space="preserve"> since the</w:t>
      </w:r>
      <w:r w:rsidRPr="00A91E05" w:rsidR="00996D45">
        <w:t>y</w:t>
      </w:r>
      <w:r w:rsidRPr="00A91E05" w:rsidR="00D61B0B">
        <w:t xml:space="preserve"> limit the possibility of short road legs of about 150 km. While recognising the vital importance of adequate terminal capacity, in particular along the TEN</w:t>
      </w:r>
      <w:r w:rsidRPr="00A91E05" w:rsidR="00786B6C">
        <w:t>-</w:t>
      </w:r>
      <w:r w:rsidRPr="00A91E05" w:rsidR="00D61B0B">
        <w:t>T Core Network Corridors</w:t>
      </w:r>
      <w:r w:rsidRPr="00A91E05" w:rsidR="00F77360">
        <w:t>,</w:t>
      </w:r>
      <w:r w:rsidRPr="00A91E05" w:rsidR="00D61B0B">
        <w:t xml:space="preserve"> it must nevertheless be borne in mind that distance between terminals must also be linked to the transport volumes in a region and to differences in the density of the network in different parts of Europe.</w:t>
      </w:r>
    </w:p>
    <w:p w:rsidRPr="00A91E05" w:rsidR="00A355AF" w:rsidP="00EF4A90" w:rsidRDefault="00A355AF" w14:paraId="42AD062A" w14:textId="77777777">
      <w:pPr>
        <w:ind w:left="567" w:hanging="567"/>
      </w:pPr>
    </w:p>
    <w:p w:rsidRPr="00A91E05" w:rsidR="00D61B0B" w:rsidP="003D1E0E" w:rsidRDefault="00D61B0B" w14:paraId="02D24251" w14:textId="77777777">
      <w:pPr>
        <w:pStyle w:val="Heading2"/>
        <w:ind w:left="567" w:hanging="567"/>
      </w:pPr>
      <w:r w:rsidRPr="00A91E05">
        <w:t>Coordination between adjacent Member States of terminal planning in border regions is</w:t>
      </w:r>
      <w:r w:rsidRPr="00A91E05" w:rsidR="00514BAC">
        <w:t>,</w:t>
      </w:r>
      <w:r w:rsidRPr="00A91E05">
        <w:t xml:space="preserve"> on the other hand</w:t>
      </w:r>
      <w:r w:rsidRPr="00A91E05" w:rsidR="00514BAC">
        <w:t>,</w:t>
      </w:r>
      <w:r w:rsidRPr="00A91E05">
        <w:t xml:space="preserve"> essential as a matter of resource efficiency.</w:t>
      </w:r>
    </w:p>
    <w:p w:rsidRPr="00A91E05" w:rsidR="00A355AF" w:rsidP="00EF4A90" w:rsidRDefault="00A355AF" w14:paraId="5746D4B9" w14:textId="77777777">
      <w:pPr>
        <w:ind w:left="567" w:hanging="567"/>
      </w:pPr>
    </w:p>
    <w:p w:rsidRPr="00CD3799" w:rsidR="00D61B0B" w:rsidP="003D1E0E" w:rsidRDefault="00D61B0B" w14:paraId="535B98FF" w14:textId="09D296AF">
      <w:pPr>
        <w:pStyle w:val="Heading2"/>
        <w:ind w:left="567" w:hanging="567"/>
      </w:pPr>
      <w:r w:rsidRPr="00A91E05">
        <w:t xml:space="preserve">It </w:t>
      </w:r>
      <w:r w:rsidRPr="00A91E05" w:rsidR="00514BAC">
        <w:t>is worth noting</w:t>
      </w:r>
      <w:r w:rsidRPr="00A91E05">
        <w:t xml:space="preserve"> in this context that a recent study</w:t>
      </w:r>
      <w:r w:rsidRPr="002A068C">
        <w:rPr>
          <w:rStyle w:val="FootnoteReference"/>
          <w:sz w:val="22"/>
          <w:szCs w:val="22"/>
        </w:rPr>
        <w:footnoteReference w:id="5"/>
      </w:r>
      <w:r w:rsidRPr="002A068C">
        <w:t xml:space="preserve"> </w:t>
      </w:r>
      <w:r w:rsidR="002517DD">
        <w:t>analysing</w:t>
      </w:r>
      <w:r w:rsidRPr="002A068C">
        <w:t xml:space="preserve"> the effects </w:t>
      </w:r>
      <w:r w:rsidRPr="00CD3799">
        <w:t xml:space="preserve">of cabotage restrictions on combined transport road legs concluded that use of </w:t>
      </w:r>
      <w:r w:rsidRPr="00A91E05" w:rsidR="009A057D">
        <w:t>"</w:t>
      </w:r>
      <w:r w:rsidRPr="00A91E05">
        <w:t>combi</w:t>
      </w:r>
      <w:r w:rsidRPr="00A91E05" w:rsidR="00786B6C">
        <w:t>-</w:t>
      </w:r>
      <w:r w:rsidRPr="00A91E05">
        <w:t>cabotage</w:t>
      </w:r>
      <w:r w:rsidRPr="00A91E05" w:rsidR="009A057D">
        <w:t>"</w:t>
      </w:r>
      <w:r w:rsidRPr="00A91E05">
        <w:t xml:space="preserve"> is fairly frequent</w:t>
      </w:r>
      <w:r w:rsidRPr="00A91E05" w:rsidR="00F77360">
        <w:t>,</w:t>
      </w:r>
      <w:r w:rsidRPr="00A91E05">
        <w:t xml:space="preserve"> due to problems with driver availability</w:t>
      </w:r>
      <w:r w:rsidR="002517DD">
        <w:t xml:space="preserve"> and flexibility and</w:t>
      </w:r>
      <w:r w:rsidRPr="002A068C">
        <w:t xml:space="preserve"> cost level differences</w:t>
      </w:r>
      <w:r w:rsidR="002517DD">
        <w:t>,</w:t>
      </w:r>
      <w:r w:rsidRPr="002A068C">
        <w:t xml:space="preserve"> </w:t>
      </w:r>
      <w:r w:rsidRPr="00CD3799">
        <w:t xml:space="preserve">and that restrictions on this kind of cabotage may therefore </w:t>
      </w:r>
      <w:r w:rsidRPr="00A91E05" w:rsidR="00514BAC">
        <w:t xml:space="preserve">cause </w:t>
      </w:r>
      <w:r w:rsidRPr="00A91E05">
        <w:t xml:space="preserve">certain immediate negative effects </w:t>
      </w:r>
      <w:r w:rsidRPr="00A91E05" w:rsidR="00514BAC">
        <w:t xml:space="preserve">for </w:t>
      </w:r>
      <w:r w:rsidRPr="00A91E05">
        <w:t xml:space="preserve">those concerned, including a reverse shift to unimodal road transport and a reduction </w:t>
      </w:r>
      <w:r w:rsidR="002517DD">
        <w:t>in</w:t>
      </w:r>
      <w:r w:rsidRPr="002A068C" w:rsidR="002517DD">
        <w:t xml:space="preserve"> </w:t>
      </w:r>
      <w:r w:rsidRPr="00CD3799">
        <w:t xml:space="preserve">rail freight services, whereas in the long term terminal operators believe that improved terminal productivity and services would compensate for possible transport cost increases. </w:t>
      </w:r>
    </w:p>
    <w:p w:rsidRPr="00A91E05" w:rsidR="00A355AF" w:rsidP="00EF4A90" w:rsidRDefault="00A355AF" w14:paraId="7C094CAB" w14:textId="77777777">
      <w:pPr>
        <w:ind w:left="567" w:hanging="567"/>
      </w:pPr>
    </w:p>
    <w:p w:rsidRPr="00A91E05" w:rsidR="00D61B0B" w:rsidP="003D1E0E" w:rsidRDefault="00D61B0B" w14:paraId="0BCF3AC1" w14:textId="77777777">
      <w:pPr>
        <w:pStyle w:val="Heading2"/>
        <w:ind w:left="567" w:hanging="567"/>
      </w:pPr>
      <w:r w:rsidRPr="00A91E05">
        <w:t>It is also important to consider the consistency of regulations regarding</w:t>
      </w:r>
      <w:r w:rsidRPr="00A91E05" w:rsidR="00514BAC">
        <w:t>,</w:t>
      </w:r>
      <w:r w:rsidRPr="00A91E05">
        <w:t xml:space="preserve"> for instance</w:t>
      </w:r>
      <w:r w:rsidRPr="00A91E05" w:rsidR="00514BAC">
        <w:t>,</w:t>
      </w:r>
      <w:r w:rsidRPr="00A91E05">
        <w:t xml:space="preserve"> handling of dangerous goods between different modes</w:t>
      </w:r>
      <w:r w:rsidRPr="00A91E05" w:rsidR="00514BAC">
        <w:t>,</w:t>
      </w:r>
      <w:r w:rsidRPr="00A91E05">
        <w:t xml:space="preserve"> and that other practical and regulatory issues that may cause difficulties in the interface between modes or in transport between Member States are resolved.</w:t>
      </w:r>
    </w:p>
    <w:p w:rsidRPr="00A91E05" w:rsidR="00A355AF" w:rsidP="00EF4A90" w:rsidRDefault="00A355AF" w14:paraId="280DB0B1" w14:textId="77777777">
      <w:pPr>
        <w:ind w:left="567" w:hanging="567"/>
      </w:pPr>
    </w:p>
    <w:p w:rsidRPr="00A91E05" w:rsidR="00D61B0B" w:rsidP="003D1E0E" w:rsidRDefault="00D61B0B" w14:paraId="30404115" w14:textId="6EEB7AC8">
      <w:pPr>
        <w:pStyle w:val="Heading2"/>
        <w:ind w:left="567" w:hanging="567"/>
      </w:pPr>
      <w:r w:rsidRPr="00A91E05">
        <w:t>A number of the problems indicated above may be resolved by smart digital solutions. Examples of this are track and tracing possibilities and other digital solutions facilitating the effective management of multimodal transport flows.</w:t>
      </w:r>
    </w:p>
    <w:p w:rsidRPr="00A91E05" w:rsidR="00A355AF" w:rsidP="00EF4A90" w:rsidRDefault="00A355AF" w14:paraId="2C0D80BF" w14:textId="77777777">
      <w:pPr>
        <w:ind w:left="567" w:hanging="567"/>
      </w:pPr>
    </w:p>
    <w:p w:rsidRPr="00A91E05" w:rsidR="00D61B0B" w:rsidP="003D1E0E" w:rsidRDefault="00D61B0B" w14:paraId="1D10E91E" w14:textId="76A99ACC">
      <w:pPr>
        <w:pStyle w:val="Heading2"/>
        <w:ind w:left="567" w:hanging="567"/>
      </w:pPr>
      <w:bookmarkStart w:name="_Hlk71214873" w:id="2"/>
      <w:r w:rsidRPr="00A91E05">
        <w:t xml:space="preserve">Regulation </w:t>
      </w:r>
      <w:r w:rsidRPr="00A91E05" w:rsidR="00514BAC">
        <w:t xml:space="preserve">(EU 2020/1056) </w:t>
      </w:r>
      <w:r w:rsidRPr="00A91E05">
        <w:t xml:space="preserve">on </w:t>
      </w:r>
      <w:r w:rsidRPr="00A91E05" w:rsidR="00514BAC">
        <w:t>e</w:t>
      </w:r>
      <w:r w:rsidRPr="00A91E05">
        <w:t xml:space="preserve">lectronic </w:t>
      </w:r>
      <w:r w:rsidRPr="00A91E05" w:rsidR="00514BAC">
        <w:t>f</w:t>
      </w:r>
      <w:r w:rsidRPr="00A91E05">
        <w:t xml:space="preserve">reight transport information will facilitate the exchange of regulatory information between operators and authorities </w:t>
      </w:r>
      <w:r w:rsidRPr="00A91E05" w:rsidR="00514BAC">
        <w:t xml:space="preserve">on </w:t>
      </w:r>
      <w:r w:rsidRPr="00A91E05">
        <w:t xml:space="preserve">digital platforms as of August 2024 and resolve at least part of the issue of standard documentation and electronic exchange of documents described above. </w:t>
      </w:r>
    </w:p>
    <w:p w:rsidRPr="00A91E05" w:rsidR="00A355AF" w:rsidP="00EF4A90" w:rsidRDefault="00A355AF" w14:paraId="2CCBF38C" w14:textId="77777777">
      <w:pPr>
        <w:ind w:left="567" w:hanging="567"/>
      </w:pPr>
    </w:p>
    <w:bookmarkEnd w:id="2"/>
    <w:p w:rsidRPr="00A91E05" w:rsidR="00D61B0B" w:rsidP="003D1E0E" w:rsidRDefault="00D61B0B" w14:paraId="274B1EEC" w14:textId="77777777">
      <w:pPr>
        <w:pStyle w:val="Heading2"/>
        <w:ind w:left="567" w:hanging="567"/>
      </w:pPr>
      <w:r w:rsidRPr="00A91E05">
        <w:t>Hence</w:t>
      </w:r>
      <w:r w:rsidRPr="00A91E05" w:rsidR="00F77360">
        <w:t>,</w:t>
      </w:r>
      <w:r w:rsidRPr="00A91E05">
        <w:t xml:space="preserve"> there appear to be possibilities </w:t>
      </w:r>
      <w:r w:rsidRPr="00A91E05" w:rsidR="00F77360">
        <w:t xml:space="preserve">for </w:t>
      </w:r>
      <w:r w:rsidRPr="00A91E05">
        <w:t xml:space="preserve">resolving most of the problems set out above that </w:t>
      </w:r>
      <w:r w:rsidRPr="00A91E05" w:rsidR="00F77360">
        <w:t>make it difficult for</w:t>
      </w:r>
      <w:r w:rsidRPr="00A91E05">
        <w:t xml:space="preserve"> multimodal freight to flourish.</w:t>
      </w:r>
    </w:p>
    <w:p w:rsidRPr="00A91E05" w:rsidR="00A355AF" w:rsidP="003D1E0E" w:rsidRDefault="00A355AF" w14:paraId="07EE0E24" w14:textId="77777777"/>
    <w:p w:rsidRPr="00A91E05" w:rsidR="00D61B0B" w:rsidP="003D1E0E" w:rsidRDefault="00D61B0B" w14:paraId="52A13CB7" w14:textId="4C4F5F44">
      <w:pPr>
        <w:pStyle w:val="Heading2"/>
        <w:ind w:left="567" w:hanging="567"/>
      </w:pPr>
      <w:r w:rsidRPr="00A91E05">
        <w:t>For that to happen</w:t>
      </w:r>
      <w:r w:rsidRPr="00A91E05" w:rsidR="00F77360">
        <w:t>,</w:t>
      </w:r>
      <w:r w:rsidRPr="00A91E05">
        <w:t xml:space="preserve"> </w:t>
      </w:r>
      <w:r w:rsidRPr="00A91E05" w:rsidR="00F77360">
        <w:t xml:space="preserve">however, </w:t>
      </w:r>
      <w:r w:rsidRPr="00A91E05">
        <w:t xml:space="preserve">adequate terminal infrastructure </w:t>
      </w:r>
      <w:r w:rsidRPr="00A91E05" w:rsidR="00514BAC">
        <w:t xml:space="preserve">needs to be </w:t>
      </w:r>
      <w:r w:rsidRPr="00A91E05">
        <w:t xml:space="preserve">provided. As a matter of resource efficiency, it would also be useful </w:t>
      </w:r>
      <w:r w:rsidRPr="00A91E05" w:rsidR="00514BAC">
        <w:t xml:space="preserve">for </w:t>
      </w:r>
      <w:r w:rsidRPr="00A91E05">
        <w:t xml:space="preserve">Member States </w:t>
      </w:r>
      <w:r w:rsidRPr="00A91E05" w:rsidR="00514BAC">
        <w:t xml:space="preserve">to agree </w:t>
      </w:r>
      <w:r w:rsidRPr="00A91E05">
        <w:t>to collaborate on the planning of terminal infrastructure in border regions.</w:t>
      </w:r>
    </w:p>
    <w:p w:rsidRPr="00A91E05" w:rsidR="00095941" w:rsidP="00EF4A90" w:rsidRDefault="00095941" w14:paraId="0EA316D2" w14:textId="77777777">
      <w:pPr>
        <w:ind w:left="567" w:hanging="567"/>
      </w:pPr>
    </w:p>
    <w:p w:rsidRPr="00A91E05" w:rsidR="00095941" w:rsidP="00EF4A90" w:rsidRDefault="00095941" w14:paraId="21AF1DB4" w14:textId="1C06A0E0">
      <w:pPr>
        <w:pStyle w:val="Heading2"/>
        <w:ind w:left="567" w:hanging="567"/>
      </w:pPr>
      <w:r w:rsidRPr="00A91E05">
        <w:t>The EESC recommends</w:t>
      </w:r>
      <w:r w:rsidRPr="00A91E05" w:rsidR="00514BAC">
        <w:t>,</w:t>
      </w:r>
      <w:r w:rsidRPr="00A91E05">
        <w:t xml:space="preserve"> with regard to public debt</w:t>
      </w:r>
      <w:r w:rsidRPr="00A91E05" w:rsidR="00514BAC">
        <w:t>, exempting</w:t>
      </w:r>
      <w:r w:rsidR="008C3CF7">
        <w:t xml:space="preserve"> </w:t>
      </w:r>
      <w:r w:rsidRPr="00A91E05" w:rsidR="00514BAC">
        <w:t xml:space="preserve">public investment in multimodal infrastructure from </w:t>
      </w:r>
      <w:r w:rsidRPr="00A91E05">
        <w:t>the provisions of the Stability and Growth Pact (SGP)</w:t>
      </w:r>
      <w:r w:rsidR="00F05C26">
        <w:t xml:space="preserve"> </w:t>
      </w:r>
      <w:r w:rsidRPr="00A91E05">
        <w:t xml:space="preserve">beyond the </w:t>
      </w:r>
      <w:r w:rsidRPr="00A91E05" w:rsidR="00514BAC">
        <w:t>COVID-</w:t>
      </w:r>
      <w:r w:rsidRPr="00A91E05">
        <w:t>19 crisis.</w:t>
      </w:r>
    </w:p>
    <w:p w:rsidRPr="00A91E05" w:rsidR="00A355AF" w:rsidP="00EF4A90" w:rsidRDefault="00A355AF" w14:paraId="56134AB2" w14:textId="77777777">
      <w:pPr>
        <w:ind w:left="567" w:hanging="567"/>
      </w:pPr>
    </w:p>
    <w:p w:rsidRPr="00A91E05" w:rsidR="00D61B0B" w:rsidP="003D1E0E" w:rsidRDefault="00514BAC" w14:paraId="3D25735E" w14:textId="77777777">
      <w:pPr>
        <w:pStyle w:val="Heading2"/>
        <w:ind w:left="567" w:hanging="567"/>
      </w:pPr>
      <w:r w:rsidRPr="00A91E05">
        <w:t>As has</w:t>
      </w:r>
      <w:r w:rsidRPr="00A91E05" w:rsidR="00D61B0B">
        <w:t xml:space="preserve"> already </w:t>
      </w:r>
      <w:r w:rsidRPr="00A91E05">
        <w:t xml:space="preserve">been </w:t>
      </w:r>
      <w:r w:rsidRPr="00A91E05" w:rsidR="00D61B0B">
        <w:t>pointed out</w:t>
      </w:r>
      <w:r w:rsidRPr="00A91E05" w:rsidR="00F77360">
        <w:t>,</w:t>
      </w:r>
      <w:r w:rsidRPr="00A91E05" w:rsidR="00D61B0B">
        <w:t xml:space="preserve"> more market</w:t>
      </w:r>
      <w:r w:rsidRPr="00A91E05" w:rsidR="00786B6C">
        <w:t>-</w:t>
      </w:r>
      <w:r w:rsidRPr="00A91E05" w:rsidR="00D61B0B">
        <w:t xml:space="preserve">focused behaviour </w:t>
      </w:r>
      <w:r w:rsidRPr="00A91E05">
        <w:t xml:space="preserve">is needed </w:t>
      </w:r>
      <w:r w:rsidRPr="00A91E05" w:rsidR="00D61B0B">
        <w:t>on the part of railways and terminal inland waterways</w:t>
      </w:r>
      <w:r w:rsidRPr="00A91E05" w:rsidR="00F77360">
        <w:t xml:space="preserve"> in particular</w:t>
      </w:r>
      <w:r w:rsidRPr="00A91E05" w:rsidR="00D61B0B">
        <w:t>.</w:t>
      </w:r>
    </w:p>
    <w:p w:rsidRPr="00A91E05" w:rsidR="00A355AF" w:rsidP="00EF4A90" w:rsidRDefault="00A355AF" w14:paraId="60C7BBC8" w14:textId="77777777">
      <w:pPr>
        <w:ind w:left="567" w:hanging="567"/>
      </w:pPr>
    </w:p>
    <w:p w:rsidRPr="00A91E05" w:rsidR="00D61B0B" w:rsidP="003D1E0E" w:rsidRDefault="00D61B0B" w14:paraId="697BD14E" w14:textId="77777777">
      <w:pPr>
        <w:pStyle w:val="Heading2"/>
        <w:ind w:left="567" w:hanging="567"/>
      </w:pPr>
      <w:bookmarkStart w:name="_Hlk71215085" w:id="3"/>
      <w:r w:rsidRPr="00A91E05">
        <w:t>If the problems set out above are adequately resolved</w:t>
      </w:r>
      <w:r w:rsidRPr="00A91E05" w:rsidR="00F77360">
        <w:t>,</w:t>
      </w:r>
      <w:r w:rsidRPr="00A91E05">
        <w:t xml:space="preserve"> multimodal transport will be able to play its full part in the transport system, without dedicated support measures. </w:t>
      </w:r>
    </w:p>
    <w:bookmarkEnd w:id="3"/>
    <w:p w:rsidRPr="00A91E05" w:rsidR="00646AC2" w:rsidP="00EF4A90" w:rsidRDefault="00646AC2" w14:paraId="4E197B85" w14:textId="77777777">
      <w:pPr>
        <w:overflowPunct/>
        <w:adjustRightInd/>
        <w:jc w:val="center"/>
        <w:textAlignment w:val="auto"/>
      </w:pPr>
      <w:r w:rsidRPr="00A91E05">
        <w:t>_____________</w:t>
      </w:r>
    </w:p>
    <w:sectPr w:rsidRPr="00A91E05" w:rsidR="00646AC2" w:rsidSect="00006209">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AB71F" w16cex:dateUtc="2021-06-09T01:42:00Z"/>
  <w16cex:commentExtensible w16cex:durableId="246AB5ED" w16cex:dateUtc="2021-06-09T01:37:00Z"/>
  <w16cex:commentExtensible w16cex:durableId="246AB7BD" w16cex:dateUtc="2021-06-09T01:45:00Z"/>
  <w16cex:commentExtensible w16cex:durableId="246AB8BC" w16cex:dateUtc="2021-06-09T01:49:00Z"/>
  <w16cex:commentExtensible w16cex:durableId="246AB8F1" w16cex:dateUtc="2021-06-09T01:50:00Z"/>
  <w16cex:commentExtensible w16cex:durableId="246ABA84" w16cex:dateUtc="2021-06-09T01:56:00Z"/>
  <w16cex:commentExtensible w16cex:durableId="246ABB93" w16cex:dateUtc="2021-06-09T02:01:00Z"/>
  <w16cex:commentExtensible w16cex:durableId="246ABD64" w16cex:dateUtc="2021-06-09T02:09:00Z"/>
  <w16cex:commentExtensible w16cex:durableId="246ABDEE" w16cex:dateUtc="2021-06-09T02:11:00Z"/>
  <w16cex:commentExtensible w16cex:durableId="246ABE2D" w16cex:dateUtc="2021-06-09T02:12:00Z"/>
  <w16cex:commentExtensible w16cex:durableId="246AC3AB" w16cex:dateUtc="2021-06-09T02:35:00Z"/>
  <w16cex:commentExtensible w16cex:durableId="246AC4AE" w16cex:dateUtc="2021-06-09T02:40:00Z"/>
  <w16cex:commentExtensible w16cex:durableId="246AC84B" w16cex:dateUtc="2021-06-09T02:55:00Z"/>
  <w16cex:commentExtensible w16cex:durableId="246AC862" w16cex:dateUtc="2021-06-09T02:56:00Z"/>
  <w16cex:commentExtensible w16cex:durableId="246AC98B" w16cex:dateUtc="2021-06-09T03:00:00Z"/>
  <w16cex:commentExtensible w16cex:durableId="246ACA5A" w16cex:dateUtc="2021-06-09T03: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CA9527" w16cid:durableId="246AB71F"/>
  <w16cid:commentId w16cid:paraId="23185BE9" w16cid:durableId="246AB5ED"/>
  <w16cid:commentId w16cid:paraId="10714CD8" w16cid:durableId="246AB7BD"/>
  <w16cid:commentId w16cid:paraId="02BFDBE6" w16cid:durableId="246AB8BC"/>
  <w16cid:commentId w16cid:paraId="3C634A98" w16cid:durableId="246AB8F1"/>
  <w16cid:commentId w16cid:paraId="01DF387F" w16cid:durableId="246ABA84"/>
  <w16cid:commentId w16cid:paraId="389665DE" w16cid:durableId="246ABB93"/>
  <w16cid:commentId w16cid:paraId="27EF089F" w16cid:durableId="246ABD64"/>
  <w16cid:commentId w16cid:paraId="21AE9A14" w16cid:durableId="246ABDEE"/>
  <w16cid:commentId w16cid:paraId="0BFA9D70" w16cid:durableId="246ABE2D"/>
  <w16cid:commentId w16cid:paraId="6DC5C418" w16cid:durableId="246AC3AB"/>
  <w16cid:commentId w16cid:paraId="63C8AD14" w16cid:durableId="246AC4AE"/>
  <w16cid:commentId w16cid:paraId="6DDC9A3C" w16cid:durableId="246AC84B"/>
  <w16cid:commentId w16cid:paraId="3245C309" w16cid:durableId="246AC862"/>
  <w16cid:commentId w16cid:paraId="6E3C8914" w16cid:durableId="246AC98B"/>
  <w16cid:commentId w16cid:paraId="4A252993" w16cid:durableId="246ACA5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FA0" w:rsidRDefault="00256FA0" w14:paraId="7938A2BC" w14:textId="7DBA0841">
      <w:r>
        <w:separator/>
      </w:r>
    </w:p>
    <w:p w:rsidR="004C57C7" w:rsidRDefault="004C57C7" w14:paraId="16155B46" w14:textId="77777777"/>
    <w:p w:rsidR="004C57C7" w:rsidRDefault="004C57C7" w14:paraId="104D8466" w14:textId="77777777"/>
  </w:endnote>
  <w:endnote w:type="continuationSeparator" w:id="0">
    <w:p w:rsidR="00256FA0" w:rsidRDefault="00256FA0" w14:paraId="340053BE" w14:textId="1F8B1B3B">
      <w:r>
        <w:continuationSeparator/>
      </w:r>
    </w:p>
    <w:p w:rsidR="004C57C7" w:rsidRDefault="004C57C7" w14:paraId="4F46420C" w14:textId="77777777"/>
    <w:p w:rsidR="004C57C7" w:rsidRDefault="004C57C7" w14:paraId="1C21BF39" w14:textId="77777777"/>
  </w:endnote>
  <w:endnote w:type="continuationNotice" w:id="1">
    <w:p w:rsidR="00256FA0" w:rsidP="003D1E0E" w:rsidRDefault="00256FA0" w14:paraId="0CD77B9B" w14:textId="77777777"/>
    <w:p w:rsidR="004C57C7" w:rsidRDefault="004C57C7" w14:paraId="76574E52" w14:textId="77777777"/>
    <w:p w:rsidR="004C57C7" w:rsidRDefault="004C57C7" w14:paraId="3F57576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rinda">
    <w:panose1 w:val="00000400000000000000"/>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06209" w:rsidR="00CB5F3C" w:rsidP="00006209" w:rsidRDefault="00006209" w14:paraId="33357E3D" w14:textId="69E7E868">
    <w:pPr>
      <w:pStyle w:val="Footer"/>
    </w:pPr>
    <w:r>
      <w:t xml:space="preserve">TEN/747 – EESC-2021-02457-00-00-PA-TRA (EN) </w:t>
    </w:r>
    <w:r>
      <w:fldChar w:fldCharType="begin"/>
    </w:r>
    <w:r>
      <w:instrText xml:space="preserve"> PAGE  \* Arabic  \* MERGEFORMAT </w:instrText>
    </w:r>
    <w:r>
      <w:fldChar w:fldCharType="separate"/>
    </w:r>
    <w:r w:rsidR="003D1E0E">
      <w:rPr>
        <w:noProof/>
      </w:rPr>
      <w:t>1</w:t>
    </w:r>
    <w:r>
      <w:fldChar w:fldCharType="end"/>
    </w:r>
    <w:r>
      <w:t>/</w:t>
    </w:r>
    <w:r w:rsidR="00E91011">
      <w:fldChar w:fldCharType="begin"/>
    </w:r>
    <w:r w:rsidR="00E91011">
      <w:instrText xml:space="preserve"> NUMPAGES </w:instrText>
    </w:r>
    <w:r w:rsidR="00E91011">
      <w:fldChar w:fldCharType="separate"/>
    </w:r>
    <w:r w:rsidR="003D1E0E">
      <w:rPr>
        <w:noProof/>
      </w:rPr>
      <w:t>1</w:t>
    </w:r>
    <w:r w:rsidR="00E9101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06209" w:rsidR="00006209" w:rsidP="00006209" w:rsidRDefault="00006209" w14:paraId="25C829C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06209" w:rsidR="004C57C7" w:rsidP="00006209" w:rsidRDefault="00006209" w14:paraId="3CAB6A22" w14:textId="0B6862AD">
    <w:pPr>
      <w:pStyle w:val="Footer"/>
    </w:pPr>
    <w:r>
      <w:t xml:space="preserve">TEN/747 – EESC-2021-02457-00-00-PA-TRA (EN) </w:t>
    </w:r>
    <w:r>
      <w:fldChar w:fldCharType="begin"/>
    </w:r>
    <w:r>
      <w:instrText xml:space="preserve"> PAGE  \* Arabic  \* MERGEFORMAT </w:instrText>
    </w:r>
    <w:r>
      <w:fldChar w:fldCharType="separate"/>
    </w:r>
    <w:r w:rsidR="00EF4A90">
      <w:rPr>
        <w:noProof/>
      </w:rPr>
      <w:t>8</w:t>
    </w:r>
    <w:r>
      <w:fldChar w:fldCharType="end"/>
    </w:r>
    <w:r>
      <w:t>/</w:t>
    </w:r>
    <w:r w:rsidR="00E91011">
      <w:fldChar w:fldCharType="begin"/>
    </w:r>
    <w:r w:rsidR="00E91011">
      <w:instrText xml:space="preserve"> NUMPAGES </w:instrText>
    </w:r>
    <w:r w:rsidR="00E91011">
      <w:fldChar w:fldCharType="separate"/>
    </w:r>
    <w:r w:rsidR="00EF4A90">
      <w:rPr>
        <w:noProof/>
      </w:rPr>
      <w:t>8</w:t>
    </w:r>
    <w:r w:rsidR="00E9101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06209" w:rsidR="00006209" w:rsidP="00006209" w:rsidRDefault="00006209" w14:paraId="0059AEF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FA0" w:rsidRDefault="00256FA0" w14:paraId="192C0128" w14:textId="20734A7F">
      <w:r>
        <w:separator/>
      </w:r>
    </w:p>
  </w:footnote>
  <w:footnote w:type="continuationSeparator" w:id="0">
    <w:p w:rsidR="00256FA0" w:rsidRDefault="00256FA0" w14:paraId="0174D997" w14:textId="7CBDB58E">
      <w:r>
        <w:continuationSeparator/>
      </w:r>
    </w:p>
  </w:footnote>
  <w:footnote w:type="continuationNotice" w:id="1">
    <w:p w:rsidRPr="00FE2F30" w:rsidR="004C57C7" w:rsidP="00FE2F30" w:rsidRDefault="004C57C7" w14:paraId="3A167D33" w14:textId="77777777">
      <w:pPr>
        <w:pStyle w:val="Footer"/>
      </w:pPr>
    </w:p>
  </w:footnote>
  <w:footnote w:id="2">
    <w:p w:rsidRPr="00F6424A" w:rsidR="00D61B0B" w:rsidP="00A355AF" w:rsidRDefault="00D61B0B" w14:paraId="42A48385" w14:textId="77777777">
      <w:pPr>
        <w:pStyle w:val="FootnoteText"/>
        <w:ind w:left="567" w:hanging="567"/>
      </w:pPr>
      <w:r>
        <w:rPr>
          <w:rStyle w:val="FootnoteReference"/>
        </w:rPr>
        <w:footnoteRef/>
      </w:r>
      <w:r w:rsidRPr="00F6424A">
        <w:t xml:space="preserve"> </w:t>
      </w:r>
      <w:r w:rsidR="00A355AF">
        <w:tab/>
      </w:r>
      <w:r w:rsidRPr="00F6424A">
        <w:t>TRT (2017) – Gathering additional data on E</w:t>
      </w:r>
      <w:r>
        <w:t>U combined transport – Final report</w:t>
      </w:r>
      <w:r w:rsidR="00786B6C">
        <w:t>.</w:t>
      </w:r>
    </w:p>
  </w:footnote>
  <w:footnote w:id="3">
    <w:p w:rsidRPr="000426B7" w:rsidR="00D61B0B" w:rsidP="00A355AF" w:rsidRDefault="00D61B0B" w14:paraId="3C5655DD" w14:textId="77777777">
      <w:pPr>
        <w:pStyle w:val="FootnoteText"/>
        <w:ind w:left="567" w:hanging="567"/>
      </w:pPr>
      <w:r>
        <w:rPr>
          <w:rStyle w:val="FootnoteReference"/>
        </w:rPr>
        <w:footnoteRef/>
      </w:r>
      <w:r w:rsidRPr="000426B7">
        <w:t xml:space="preserve"> </w:t>
      </w:r>
      <w:r w:rsidR="00A355AF">
        <w:tab/>
      </w:r>
      <w:r w:rsidRPr="000426B7">
        <w:t>Commission Staff Working Document, Impact a</w:t>
      </w:r>
      <w:r>
        <w:t>ssessment SWD(2017) 362</w:t>
      </w:r>
      <w:r w:rsidR="00786B6C">
        <w:t>.</w:t>
      </w:r>
    </w:p>
  </w:footnote>
  <w:footnote w:id="4">
    <w:p w:rsidRPr="00753568" w:rsidR="00D61B0B" w:rsidP="00A355AF" w:rsidRDefault="00D61B0B" w14:paraId="5728E33D" w14:textId="77777777">
      <w:pPr>
        <w:pStyle w:val="FootnoteText"/>
        <w:ind w:left="567" w:hanging="567"/>
      </w:pPr>
      <w:r>
        <w:rPr>
          <w:rStyle w:val="FootnoteReference"/>
        </w:rPr>
        <w:footnoteRef/>
      </w:r>
      <w:r w:rsidRPr="00753568">
        <w:t xml:space="preserve"> </w:t>
      </w:r>
      <w:r w:rsidR="00A355AF">
        <w:tab/>
      </w:r>
      <w:r w:rsidRPr="00753568">
        <w:t>Commission Staff Working Document SWD(</w:t>
      </w:r>
      <w:r>
        <w:t>2020)</w:t>
      </w:r>
      <w:r w:rsidR="00786B6C">
        <w:t xml:space="preserve"> </w:t>
      </w:r>
      <w:r>
        <w:t>331 accompanying the SSM Strategy</w:t>
      </w:r>
      <w:r w:rsidR="00786B6C">
        <w:t>.</w:t>
      </w:r>
      <w:r w:rsidR="009A057D">
        <w:t xml:space="preserve"> </w:t>
      </w:r>
    </w:p>
  </w:footnote>
  <w:footnote w:id="5">
    <w:p w:rsidRPr="00112410" w:rsidR="00D61B0B" w:rsidP="00A355AF" w:rsidRDefault="00D61B0B" w14:paraId="56A280D6" w14:textId="77777777">
      <w:pPr>
        <w:pStyle w:val="FootnoteText"/>
        <w:ind w:left="567" w:hanging="567"/>
      </w:pPr>
      <w:r>
        <w:rPr>
          <w:rStyle w:val="FootnoteReference"/>
        </w:rPr>
        <w:footnoteRef/>
      </w:r>
      <w:r w:rsidRPr="00112410">
        <w:t xml:space="preserve"> </w:t>
      </w:r>
      <w:r w:rsidR="00A355AF">
        <w:tab/>
      </w:r>
      <w:r w:rsidRPr="00112410">
        <w:t>Mobility Package 1 – Data g</w:t>
      </w:r>
      <w:r>
        <w:t>a</w:t>
      </w:r>
      <w:r w:rsidRPr="00112410">
        <w:t>thering an a</w:t>
      </w:r>
      <w:r>
        <w:t>nalysis of the impacts of cabotage restrictions on combined transport road legs TRT Transporti e Territorio SRL</w:t>
      </w:r>
      <w:r w:rsidR="00786B6C">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06209" w:rsidR="00006209" w:rsidP="00006209" w:rsidRDefault="00006209" w14:paraId="352C042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06209" w:rsidR="00006209" w:rsidP="00006209" w:rsidRDefault="00006209" w14:paraId="1F7B0748" w14:textId="2CA959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06209" w:rsidR="00006209" w:rsidP="00006209" w:rsidRDefault="00006209" w14:paraId="541C5A3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6D4D17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716118F"/>
    <w:multiLevelType w:val="multilevel"/>
    <w:tmpl w:val="0B701856"/>
    <w:lvl w:ilvl="0">
      <w:start w:val="2"/>
      <w:numFmt w:val="decimal"/>
      <w:lvlText w:val="%1"/>
      <w:lvlJc w:val="left"/>
      <w:pPr>
        <w:ind w:left="1305" w:hanging="1305"/>
      </w:pPr>
      <w:rPr>
        <w:rFonts w:hint="default"/>
      </w:rPr>
    </w:lvl>
    <w:lvl w:ilvl="1">
      <w:start w:val="1"/>
      <w:numFmt w:val="decimal"/>
      <w:isLgl/>
      <w:lvlText w:val="%1.%2"/>
      <w:lvlJc w:val="left"/>
      <w:pPr>
        <w:ind w:left="1305" w:hanging="1305"/>
      </w:pPr>
      <w:rPr>
        <w:rFonts w:hint="default"/>
      </w:rPr>
    </w:lvl>
    <w:lvl w:ilvl="2">
      <w:start w:val="1"/>
      <w:numFmt w:val="decimal"/>
      <w:isLgl/>
      <w:lvlText w:val="%1.%2.%3"/>
      <w:lvlJc w:val="left"/>
      <w:pPr>
        <w:ind w:left="1305" w:hanging="1305"/>
      </w:pPr>
      <w:rPr>
        <w:rFonts w:hint="default"/>
      </w:rPr>
    </w:lvl>
    <w:lvl w:ilvl="3">
      <w:start w:val="1"/>
      <w:numFmt w:val="decimal"/>
      <w:isLgl/>
      <w:lvlText w:val="%1.%2.%3.%4"/>
      <w:lvlJc w:val="left"/>
      <w:pPr>
        <w:ind w:left="1305" w:hanging="1305"/>
      </w:pPr>
      <w:rPr>
        <w:rFonts w:hint="default"/>
      </w:rPr>
    </w:lvl>
    <w:lvl w:ilvl="4">
      <w:start w:val="1"/>
      <w:numFmt w:val="decimal"/>
      <w:isLgl/>
      <w:lvlText w:val="%1.%2.%3.%4.%5"/>
      <w:lvlJc w:val="left"/>
      <w:pPr>
        <w:ind w:left="1305" w:hanging="1305"/>
      </w:pPr>
      <w:rPr>
        <w:rFonts w:hint="default"/>
      </w:rPr>
    </w:lvl>
    <w:lvl w:ilvl="5">
      <w:start w:val="1"/>
      <w:numFmt w:val="decimal"/>
      <w:isLgl/>
      <w:lvlText w:val="%1.%2.%3.%4.%5.%6"/>
      <w:lvlJc w:val="left"/>
      <w:pPr>
        <w:ind w:left="1305" w:hanging="1305"/>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88242A6"/>
    <w:multiLevelType w:val="multilevel"/>
    <w:tmpl w:val="B2D41A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60851191"/>
    <w:multiLevelType w:val="multilevel"/>
    <w:tmpl w:val="AB708E6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8">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6">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0">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7">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5">
    <w:abstractNumId w:val="2"/>
  </w:num>
  <w:num w:numId="66">
    <w:abstractNumId w:val="0"/>
  </w:num>
  <w:num w:numId="67">
    <w:abstractNumId w:val="0"/>
  </w:num>
  <w:num w:numId="68">
    <w:abstractNumId w:val="0"/>
  </w:num>
  <w:num w:numId="69">
    <w:abstractNumId w:val="0"/>
  </w:num>
  <w:num w:numId="70">
    <w:abstractNumId w:val="0"/>
  </w:num>
  <w:num w:numId="71">
    <w:abstractNumId w:val="3"/>
  </w:num>
  <w:num w:numId="72">
    <w:abstractNumId w:val="1"/>
  </w:num>
  <w:num w:numId="73">
    <w:abstractNumId w:val="0"/>
  </w:num>
  <w:num w:numId="74">
    <w:abstractNumId w:val="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8F"/>
    <w:rsid w:val="00005AB9"/>
    <w:rsid w:val="00005EB9"/>
    <w:rsid w:val="00006209"/>
    <w:rsid w:val="00006E24"/>
    <w:rsid w:val="00007A40"/>
    <w:rsid w:val="00017B45"/>
    <w:rsid w:val="00020E6E"/>
    <w:rsid w:val="00026326"/>
    <w:rsid w:val="00031A4B"/>
    <w:rsid w:val="00033913"/>
    <w:rsid w:val="00033DB4"/>
    <w:rsid w:val="00033E5B"/>
    <w:rsid w:val="000357A8"/>
    <w:rsid w:val="000430A6"/>
    <w:rsid w:val="00044923"/>
    <w:rsid w:val="0005249C"/>
    <w:rsid w:val="000534A5"/>
    <w:rsid w:val="0005680D"/>
    <w:rsid w:val="00063FB4"/>
    <w:rsid w:val="0006793E"/>
    <w:rsid w:val="00072E0F"/>
    <w:rsid w:val="000735E5"/>
    <w:rsid w:val="0007392F"/>
    <w:rsid w:val="00074506"/>
    <w:rsid w:val="00087B39"/>
    <w:rsid w:val="00093DE0"/>
    <w:rsid w:val="00095941"/>
    <w:rsid w:val="00096502"/>
    <w:rsid w:val="000A49BB"/>
    <w:rsid w:val="000A5670"/>
    <w:rsid w:val="000C3441"/>
    <w:rsid w:val="000C53E6"/>
    <w:rsid w:val="000C5A8E"/>
    <w:rsid w:val="000C7F53"/>
    <w:rsid w:val="000D0B4B"/>
    <w:rsid w:val="000D2F8E"/>
    <w:rsid w:val="000F196B"/>
    <w:rsid w:val="00105361"/>
    <w:rsid w:val="001101F8"/>
    <w:rsid w:val="0011206F"/>
    <w:rsid w:val="0011656A"/>
    <w:rsid w:val="0012220C"/>
    <w:rsid w:val="00136EA3"/>
    <w:rsid w:val="00136F38"/>
    <w:rsid w:val="00137575"/>
    <w:rsid w:val="001406F2"/>
    <w:rsid w:val="00144231"/>
    <w:rsid w:val="00150434"/>
    <w:rsid w:val="00155721"/>
    <w:rsid w:val="0016503F"/>
    <w:rsid w:val="0016674F"/>
    <w:rsid w:val="00167CA0"/>
    <w:rsid w:val="0017120D"/>
    <w:rsid w:val="001714F6"/>
    <w:rsid w:val="00176168"/>
    <w:rsid w:val="00177158"/>
    <w:rsid w:val="00184FD4"/>
    <w:rsid w:val="00186B04"/>
    <w:rsid w:val="00186F1E"/>
    <w:rsid w:val="00190836"/>
    <w:rsid w:val="00193930"/>
    <w:rsid w:val="00194B36"/>
    <w:rsid w:val="001963A5"/>
    <w:rsid w:val="00196F1E"/>
    <w:rsid w:val="00197FCA"/>
    <w:rsid w:val="001A27DB"/>
    <w:rsid w:val="001A6852"/>
    <w:rsid w:val="001B286A"/>
    <w:rsid w:val="001B2D02"/>
    <w:rsid w:val="001B3647"/>
    <w:rsid w:val="001B77FA"/>
    <w:rsid w:val="001C0ABE"/>
    <w:rsid w:val="001C5852"/>
    <w:rsid w:val="001D18AD"/>
    <w:rsid w:val="001D45F0"/>
    <w:rsid w:val="001E1335"/>
    <w:rsid w:val="001E4A33"/>
    <w:rsid w:val="001E5C27"/>
    <w:rsid w:val="001F602B"/>
    <w:rsid w:val="001F6AC8"/>
    <w:rsid w:val="002037D5"/>
    <w:rsid w:val="00206F90"/>
    <w:rsid w:val="00212B03"/>
    <w:rsid w:val="00215C10"/>
    <w:rsid w:val="00215C2D"/>
    <w:rsid w:val="002172C3"/>
    <w:rsid w:val="00221273"/>
    <w:rsid w:val="002252C4"/>
    <w:rsid w:val="0023140A"/>
    <w:rsid w:val="0023183E"/>
    <w:rsid w:val="0023368C"/>
    <w:rsid w:val="00235138"/>
    <w:rsid w:val="00243E36"/>
    <w:rsid w:val="0024540B"/>
    <w:rsid w:val="00245EF4"/>
    <w:rsid w:val="00250E11"/>
    <w:rsid w:val="00251383"/>
    <w:rsid w:val="002517DD"/>
    <w:rsid w:val="002522C9"/>
    <w:rsid w:val="00252A21"/>
    <w:rsid w:val="00253E4F"/>
    <w:rsid w:val="002542E4"/>
    <w:rsid w:val="00256FA0"/>
    <w:rsid w:val="00261053"/>
    <w:rsid w:val="00262FDE"/>
    <w:rsid w:val="00263629"/>
    <w:rsid w:val="002769BD"/>
    <w:rsid w:val="002809EA"/>
    <w:rsid w:val="00283825"/>
    <w:rsid w:val="00284962"/>
    <w:rsid w:val="00287ACA"/>
    <w:rsid w:val="00287B0E"/>
    <w:rsid w:val="0029549C"/>
    <w:rsid w:val="00297796"/>
    <w:rsid w:val="002A068C"/>
    <w:rsid w:val="002A0B53"/>
    <w:rsid w:val="002A0EEF"/>
    <w:rsid w:val="002A3464"/>
    <w:rsid w:val="002B2DF7"/>
    <w:rsid w:val="002C1D46"/>
    <w:rsid w:val="002C3BF4"/>
    <w:rsid w:val="002C749F"/>
    <w:rsid w:val="002E5133"/>
    <w:rsid w:val="002F059B"/>
    <w:rsid w:val="002F2C2B"/>
    <w:rsid w:val="002F5B0B"/>
    <w:rsid w:val="00300924"/>
    <w:rsid w:val="0030596E"/>
    <w:rsid w:val="003073C3"/>
    <w:rsid w:val="003118D1"/>
    <w:rsid w:val="00323637"/>
    <w:rsid w:val="00324E8A"/>
    <w:rsid w:val="003267F5"/>
    <w:rsid w:val="00331D87"/>
    <w:rsid w:val="00332850"/>
    <w:rsid w:val="00334478"/>
    <w:rsid w:val="003346B4"/>
    <w:rsid w:val="00334AE6"/>
    <w:rsid w:val="003365D0"/>
    <w:rsid w:val="003439AB"/>
    <w:rsid w:val="00354695"/>
    <w:rsid w:val="0035549B"/>
    <w:rsid w:val="00355563"/>
    <w:rsid w:val="003755C8"/>
    <w:rsid w:val="00375687"/>
    <w:rsid w:val="00375C20"/>
    <w:rsid w:val="00376EFC"/>
    <w:rsid w:val="00380AE0"/>
    <w:rsid w:val="00383324"/>
    <w:rsid w:val="00387A75"/>
    <w:rsid w:val="003904FD"/>
    <w:rsid w:val="00394254"/>
    <w:rsid w:val="003B2ABA"/>
    <w:rsid w:val="003B7185"/>
    <w:rsid w:val="003C2BFB"/>
    <w:rsid w:val="003C436B"/>
    <w:rsid w:val="003C5337"/>
    <w:rsid w:val="003C5F92"/>
    <w:rsid w:val="003D1E0E"/>
    <w:rsid w:val="003D7A8C"/>
    <w:rsid w:val="003D7C00"/>
    <w:rsid w:val="003E0EB4"/>
    <w:rsid w:val="003E423D"/>
    <w:rsid w:val="003E56E5"/>
    <w:rsid w:val="003E7E60"/>
    <w:rsid w:val="003F00D4"/>
    <w:rsid w:val="003F20CE"/>
    <w:rsid w:val="003F2209"/>
    <w:rsid w:val="003F3D39"/>
    <w:rsid w:val="003F646A"/>
    <w:rsid w:val="003F6761"/>
    <w:rsid w:val="003F6A0A"/>
    <w:rsid w:val="004024F5"/>
    <w:rsid w:val="00402DE1"/>
    <w:rsid w:val="00403D8B"/>
    <w:rsid w:val="004058F1"/>
    <w:rsid w:val="00407E7D"/>
    <w:rsid w:val="0041283D"/>
    <w:rsid w:val="00413AB4"/>
    <w:rsid w:val="00421373"/>
    <w:rsid w:val="00421FB7"/>
    <w:rsid w:val="0042763B"/>
    <w:rsid w:val="0043024C"/>
    <w:rsid w:val="00436706"/>
    <w:rsid w:val="00443D38"/>
    <w:rsid w:val="00450E7A"/>
    <w:rsid w:val="00456AF8"/>
    <w:rsid w:val="004666AF"/>
    <w:rsid w:val="00470B15"/>
    <w:rsid w:val="00475869"/>
    <w:rsid w:val="00475A77"/>
    <w:rsid w:val="004765AC"/>
    <w:rsid w:val="004801EB"/>
    <w:rsid w:val="00482DDC"/>
    <w:rsid w:val="00483E6C"/>
    <w:rsid w:val="004866A9"/>
    <w:rsid w:val="00492774"/>
    <w:rsid w:val="00493C4F"/>
    <w:rsid w:val="00496D7A"/>
    <w:rsid w:val="004A31BC"/>
    <w:rsid w:val="004A3F1A"/>
    <w:rsid w:val="004A3F45"/>
    <w:rsid w:val="004A7136"/>
    <w:rsid w:val="004B1AFA"/>
    <w:rsid w:val="004B6047"/>
    <w:rsid w:val="004B7088"/>
    <w:rsid w:val="004C57C7"/>
    <w:rsid w:val="004C5B76"/>
    <w:rsid w:val="004D02CD"/>
    <w:rsid w:val="004D0B24"/>
    <w:rsid w:val="004D0F9F"/>
    <w:rsid w:val="004D26EC"/>
    <w:rsid w:val="004D4B90"/>
    <w:rsid w:val="004D6B95"/>
    <w:rsid w:val="004D7F41"/>
    <w:rsid w:val="004E03A2"/>
    <w:rsid w:val="004E158A"/>
    <w:rsid w:val="004E317E"/>
    <w:rsid w:val="004E3954"/>
    <w:rsid w:val="004E5856"/>
    <w:rsid w:val="004F2330"/>
    <w:rsid w:val="004F53C6"/>
    <w:rsid w:val="004F69DB"/>
    <w:rsid w:val="004F6B87"/>
    <w:rsid w:val="00501C2D"/>
    <w:rsid w:val="00502637"/>
    <w:rsid w:val="00511140"/>
    <w:rsid w:val="00513CFE"/>
    <w:rsid w:val="00514BAC"/>
    <w:rsid w:val="00523B6A"/>
    <w:rsid w:val="00525F6C"/>
    <w:rsid w:val="0052769B"/>
    <w:rsid w:val="005376FE"/>
    <w:rsid w:val="00546AB4"/>
    <w:rsid w:val="005514E5"/>
    <w:rsid w:val="00563C84"/>
    <w:rsid w:val="005762F6"/>
    <w:rsid w:val="00584FBE"/>
    <w:rsid w:val="00585483"/>
    <w:rsid w:val="00587378"/>
    <w:rsid w:val="00587C05"/>
    <w:rsid w:val="00590AAB"/>
    <w:rsid w:val="00591EDB"/>
    <w:rsid w:val="005938C3"/>
    <w:rsid w:val="0059468C"/>
    <w:rsid w:val="00595125"/>
    <w:rsid w:val="005957EA"/>
    <w:rsid w:val="00596F21"/>
    <w:rsid w:val="005B1CDD"/>
    <w:rsid w:val="005B1E19"/>
    <w:rsid w:val="005B55FC"/>
    <w:rsid w:val="005C2D5E"/>
    <w:rsid w:val="005C3B81"/>
    <w:rsid w:val="005C650C"/>
    <w:rsid w:val="005D086C"/>
    <w:rsid w:val="005D11D3"/>
    <w:rsid w:val="005D4E1F"/>
    <w:rsid w:val="005D4FB3"/>
    <w:rsid w:val="005E2F07"/>
    <w:rsid w:val="005E2FEA"/>
    <w:rsid w:val="005E536E"/>
    <w:rsid w:val="005F314B"/>
    <w:rsid w:val="00610052"/>
    <w:rsid w:val="00611AF2"/>
    <w:rsid w:val="0061212B"/>
    <w:rsid w:val="006127AF"/>
    <w:rsid w:val="00615FB2"/>
    <w:rsid w:val="00617BD1"/>
    <w:rsid w:val="00617CE8"/>
    <w:rsid w:val="006278A0"/>
    <w:rsid w:val="0063095F"/>
    <w:rsid w:val="00646AC2"/>
    <w:rsid w:val="00650390"/>
    <w:rsid w:val="00654DAB"/>
    <w:rsid w:val="0066204A"/>
    <w:rsid w:val="00670E3C"/>
    <w:rsid w:val="00671775"/>
    <w:rsid w:val="00675ED3"/>
    <w:rsid w:val="00677F57"/>
    <w:rsid w:val="00681088"/>
    <w:rsid w:val="0069577E"/>
    <w:rsid w:val="0069634B"/>
    <w:rsid w:val="00696623"/>
    <w:rsid w:val="006A04E9"/>
    <w:rsid w:val="006A4733"/>
    <w:rsid w:val="006A4A03"/>
    <w:rsid w:val="006A7543"/>
    <w:rsid w:val="006B40A0"/>
    <w:rsid w:val="006B725C"/>
    <w:rsid w:val="006C273D"/>
    <w:rsid w:val="006C5C4F"/>
    <w:rsid w:val="006C6282"/>
    <w:rsid w:val="006C762A"/>
    <w:rsid w:val="006D10CD"/>
    <w:rsid w:val="006D5FF9"/>
    <w:rsid w:val="006E0772"/>
    <w:rsid w:val="006E0F86"/>
    <w:rsid w:val="006F0B15"/>
    <w:rsid w:val="006F0DCC"/>
    <w:rsid w:val="006F1A2D"/>
    <w:rsid w:val="00703DF9"/>
    <w:rsid w:val="007048EB"/>
    <w:rsid w:val="00704FBB"/>
    <w:rsid w:val="0070726A"/>
    <w:rsid w:val="0071226B"/>
    <w:rsid w:val="0071492A"/>
    <w:rsid w:val="00717040"/>
    <w:rsid w:val="00717184"/>
    <w:rsid w:val="00733879"/>
    <w:rsid w:val="00766CC0"/>
    <w:rsid w:val="007750A2"/>
    <w:rsid w:val="007817D6"/>
    <w:rsid w:val="00786B6C"/>
    <w:rsid w:val="00787912"/>
    <w:rsid w:val="0079177A"/>
    <w:rsid w:val="00794836"/>
    <w:rsid w:val="007948D5"/>
    <w:rsid w:val="00794CC8"/>
    <w:rsid w:val="007A15C9"/>
    <w:rsid w:val="007A6676"/>
    <w:rsid w:val="007A6D31"/>
    <w:rsid w:val="007A7AB7"/>
    <w:rsid w:val="007B7FF5"/>
    <w:rsid w:val="007C3FC6"/>
    <w:rsid w:val="007D2CE9"/>
    <w:rsid w:val="007D4FED"/>
    <w:rsid w:val="007D6707"/>
    <w:rsid w:val="007D69DA"/>
    <w:rsid w:val="007D70B1"/>
    <w:rsid w:val="007D7140"/>
    <w:rsid w:val="007E1C73"/>
    <w:rsid w:val="007E1CDB"/>
    <w:rsid w:val="007E408C"/>
    <w:rsid w:val="007E7E21"/>
    <w:rsid w:val="007F0460"/>
    <w:rsid w:val="007F0DA2"/>
    <w:rsid w:val="007F39CE"/>
    <w:rsid w:val="007F5E0D"/>
    <w:rsid w:val="00801085"/>
    <w:rsid w:val="00801A89"/>
    <w:rsid w:val="00812138"/>
    <w:rsid w:val="008151F2"/>
    <w:rsid w:val="008161A5"/>
    <w:rsid w:val="008167F9"/>
    <w:rsid w:val="0081777A"/>
    <w:rsid w:val="008210E0"/>
    <w:rsid w:val="00824079"/>
    <w:rsid w:val="00831F0A"/>
    <w:rsid w:val="00833A78"/>
    <w:rsid w:val="0084585F"/>
    <w:rsid w:val="00846CD8"/>
    <w:rsid w:val="008535C0"/>
    <w:rsid w:val="00853E53"/>
    <w:rsid w:val="0086230B"/>
    <w:rsid w:val="00864D76"/>
    <w:rsid w:val="008656C9"/>
    <w:rsid w:val="0086711C"/>
    <w:rsid w:val="00867535"/>
    <w:rsid w:val="00875C5B"/>
    <w:rsid w:val="00883C5F"/>
    <w:rsid w:val="00886CA6"/>
    <w:rsid w:val="00891C7D"/>
    <w:rsid w:val="00892FA7"/>
    <w:rsid w:val="008A3301"/>
    <w:rsid w:val="008A4DF1"/>
    <w:rsid w:val="008A5636"/>
    <w:rsid w:val="008B125E"/>
    <w:rsid w:val="008B241C"/>
    <w:rsid w:val="008B408B"/>
    <w:rsid w:val="008B4F11"/>
    <w:rsid w:val="008C2362"/>
    <w:rsid w:val="008C3049"/>
    <w:rsid w:val="008C3CF7"/>
    <w:rsid w:val="008C68A2"/>
    <w:rsid w:val="008D19D1"/>
    <w:rsid w:val="008D3AE9"/>
    <w:rsid w:val="008D4AE9"/>
    <w:rsid w:val="008D5CF3"/>
    <w:rsid w:val="008D62AF"/>
    <w:rsid w:val="008D7D39"/>
    <w:rsid w:val="008E4574"/>
    <w:rsid w:val="008F4016"/>
    <w:rsid w:val="008F42FE"/>
    <w:rsid w:val="008F4A00"/>
    <w:rsid w:val="008F5402"/>
    <w:rsid w:val="008F6C7F"/>
    <w:rsid w:val="0090053A"/>
    <w:rsid w:val="00901C2A"/>
    <w:rsid w:val="009076F9"/>
    <w:rsid w:val="009118C7"/>
    <w:rsid w:val="009148DF"/>
    <w:rsid w:val="009201A0"/>
    <w:rsid w:val="009225B6"/>
    <w:rsid w:val="00925397"/>
    <w:rsid w:val="00933A21"/>
    <w:rsid w:val="00934C10"/>
    <w:rsid w:val="0093662A"/>
    <w:rsid w:val="0094060C"/>
    <w:rsid w:val="009450D5"/>
    <w:rsid w:val="00953C9A"/>
    <w:rsid w:val="00955A4A"/>
    <w:rsid w:val="00957D4B"/>
    <w:rsid w:val="009606A5"/>
    <w:rsid w:val="00962F1F"/>
    <w:rsid w:val="00965304"/>
    <w:rsid w:val="00971293"/>
    <w:rsid w:val="00973A3B"/>
    <w:rsid w:val="00983EAE"/>
    <w:rsid w:val="0098760B"/>
    <w:rsid w:val="00996D45"/>
    <w:rsid w:val="009A057D"/>
    <w:rsid w:val="009A11DD"/>
    <w:rsid w:val="009B30AA"/>
    <w:rsid w:val="009B5217"/>
    <w:rsid w:val="009C03F9"/>
    <w:rsid w:val="009C4783"/>
    <w:rsid w:val="009C4798"/>
    <w:rsid w:val="009C48DE"/>
    <w:rsid w:val="009E1E1E"/>
    <w:rsid w:val="009E33E3"/>
    <w:rsid w:val="009E7F16"/>
    <w:rsid w:val="009F5052"/>
    <w:rsid w:val="00A01585"/>
    <w:rsid w:val="00A04C85"/>
    <w:rsid w:val="00A100F0"/>
    <w:rsid w:val="00A156E6"/>
    <w:rsid w:val="00A27D86"/>
    <w:rsid w:val="00A316C0"/>
    <w:rsid w:val="00A33151"/>
    <w:rsid w:val="00A355AF"/>
    <w:rsid w:val="00A36970"/>
    <w:rsid w:val="00A41EB4"/>
    <w:rsid w:val="00A44BFF"/>
    <w:rsid w:val="00A501E3"/>
    <w:rsid w:val="00A50F0C"/>
    <w:rsid w:val="00A54198"/>
    <w:rsid w:val="00A56441"/>
    <w:rsid w:val="00A736DD"/>
    <w:rsid w:val="00A815D7"/>
    <w:rsid w:val="00A82869"/>
    <w:rsid w:val="00A8758C"/>
    <w:rsid w:val="00A87CF0"/>
    <w:rsid w:val="00A91E05"/>
    <w:rsid w:val="00AA127E"/>
    <w:rsid w:val="00AA19AE"/>
    <w:rsid w:val="00AA423D"/>
    <w:rsid w:val="00AA6A95"/>
    <w:rsid w:val="00AB10DE"/>
    <w:rsid w:val="00AB3668"/>
    <w:rsid w:val="00AB5ED7"/>
    <w:rsid w:val="00AC0B4C"/>
    <w:rsid w:val="00AC2D0D"/>
    <w:rsid w:val="00AD0AEE"/>
    <w:rsid w:val="00AD49E3"/>
    <w:rsid w:val="00AD4B4F"/>
    <w:rsid w:val="00AF0616"/>
    <w:rsid w:val="00AF0E28"/>
    <w:rsid w:val="00AF6F9B"/>
    <w:rsid w:val="00B01409"/>
    <w:rsid w:val="00B01A5E"/>
    <w:rsid w:val="00B04719"/>
    <w:rsid w:val="00B05A9B"/>
    <w:rsid w:val="00B10DBD"/>
    <w:rsid w:val="00B15629"/>
    <w:rsid w:val="00B20AEB"/>
    <w:rsid w:val="00B2372C"/>
    <w:rsid w:val="00B32F70"/>
    <w:rsid w:val="00B373D0"/>
    <w:rsid w:val="00B43AAA"/>
    <w:rsid w:val="00B53139"/>
    <w:rsid w:val="00B562CE"/>
    <w:rsid w:val="00B60B84"/>
    <w:rsid w:val="00B62DE2"/>
    <w:rsid w:val="00B6452B"/>
    <w:rsid w:val="00B66926"/>
    <w:rsid w:val="00B74417"/>
    <w:rsid w:val="00B77246"/>
    <w:rsid w:val="00B866CD"/>
    <w:rsid w:val="00B86ADD"/>
    <w:rsid w:val="00B93034"/>
    <w:rsid w:val="00B97C5D"/>
    <w:rsid w:val="00BA1290"/>
    <w:rsid w:val="00BA3101"/>
    <w:rsid w:val="00BB1628"/>
    <w:rsid w:val="00BB2792"/>
    <w:rsid w:val="00BB37D9"/>
    <w:rsid w:val="00BB76BF"/>
    <w:rsid w:val="00BC1AD1"/>
    <w:rsid w:val="00BC4A58"/>
    <w:rsid w:val="00BC5055"/>
    <w:rsid w:val="00BC613B"/>
    <w:rsid w:val="00BD51D9"/>
    <w:rsid w:val="00BD5C76"/>
    <w:rsid w:val="00BD64E2"/>
    <w:rsid w:val="00BE0BAF"/>
    <w:rsid w:val="00BE3C0E"/>
    <w:rsid w:val="00BE4584"/>
    <w:rsid w:val="00BE4995"/>
    <w:rsid w:val="00BF429A"/>
    <w:rsid w:val="00BF62BE"/>
    <w:rsid w:val="00C009E9"/>
    <w:rsid w:val="00C07126"/>
    <w:rsid w:val="00C078A8"/>
    <w:rsid w:val="00C16853"/>
    <w:rsid w:val="00C25751"/>
    <w:rsid w:val="00C263F0"/>
    <w:rsid w:val="00C26E21"/>
    <w:rsid w:val="00C303E5"/>
    <w:rsid w:val="00C33D41"/>
    <w:rsid w:val="00C40106"/>
    <w:rsid w:val="00C40AFD"/>
    <w:rsid w:val="00C41E20"/>
    <w:rsid w:val="00C42E3E"/>
    <w:rsid w:val="00C51C13"/>
    <w:rsid w:val="00C525A5"/>
    <w:rsid w:val="00C525E4"/>
    <w:rsid w:val="00C5300F"/>
    <w:rsid w:val="00C66CE0"/>
    <w:rsid w:val="00C71BED"/>
    <w:rsid w:val="00C747C0"/>
    <w:rsid w:val="00C74F4B"/>
    <w:rsid w:val="00C81B53"/>
    <w:rsid w:val="00C82AD2"/>
    <w:rsid w:val="00C90FB6"/>
    <w:rsid w:val="00C9220E"/>
    <w:rsid w:val="00C932BD"/>
    <w:rsid w:val="00C93429"/>
    <w:rsid w:val="00CA16C5"/>
    <w:rsid w:val="00CA415A"/>
    <w:rsid w:val="00CA7A35"/>
    <w:rsid w:val="00CB1536"/>
    <w:rsid w:val="00CB5F3C"/>
    <w:rsid w:val="00CB7FB8"/>
    <w:rsid w:val="00CC1F71"/>
    <w:rsid w:val="00CC5EB3"/>
    <w:rsid w:val="00CD0E7B"/>
    <w:rsid w:val="00CD2ABD"/>
    <w:rsid w:val="00CD3740"/>
    <w:rsid w:val="00CD3799"/>
    <w:rsid w:val="00CD4024"/>
    <w:rsid w:val="00CD4617"/>
    <w:rsid w:val="00CD4855"/>
    <w:rsid w:val="00CE6D43"/>
    <w:rsid w:val="00CE7888"/>
    <w:rsid w:val="00D10E1C"/>
    <w:rsid w:val="00D14774"/>
    <w:rsid w:val="00D161A3"/>
    <w:rsid w:val="00D21423"/>
    <w:rsid w:val="00D22E49"/>
    <w:rsid w:val="00D23716"/>
    <w:rsid w:val="00D23758"/>
    <w:rsid w:val="00D25ED8"/>
    <w:rsid w:val="00D2649E"/>
    <w:rsid w:val="00D266BE"/>
    <w:rsid w:val="00D27C1A"/>
    <w:rsid w:val="00D27F8F"/>
    <w:rsid w:val="00D316B8"/>
    <w:rsid w:val="00D31CFC"/>
    <w:rsid w:val="00D3255D"/>
    <w:rsid w:val="00D340C3"/>
    <w:rsid w:val="00D409CD"/>
    <w:rsid w:val="00D423D4"/>
    <w:rsid w:val="00D42CAF"/>
    <w:rsid w:val="00D43D25"/>
    <w:rsid w:val="00D43DBF"/>
    <w:rsid w:val="00D4763B"/>
    <w:rsid w:val="00D53136"/>
    <w:rsid w:val="00D601EF"/>
    <w:rsid w:val="00D61533"/>
    <w:rsid w:val="00D61B0B"/>
    <w:rsid w:val="00D63B2F"/>
    <w:rsid w:val="00D65DBD"/>
    <w:rsid w:val="00D70747"/>
    <w:rsid w:val="00D7261D"/>
    <w:rsid w:val="00D755FC"/>
    <w:rsid w:val="00D76B6D"/>
    <w:rsid w:val="00D82D2F"/>
    <w:rsid w:val="00D84D07"/>
    <w:rsid w:val="00D8526A"/>
    <w:rsid w:val="00D90E91"/>
    <w:rsid w:val="00DA6624"/>
    <w:rsid w:val="00DA6EAA"/>
    <w:rsid w:val="00DB53C1"/>
    <w:rsid w:val="00DC1347"/>
    <w:rsid w:val="00DC39F1"/>
    <w:rsid w:val="00DD56D3"/>
    <w:rsid w:val="00DE4B35"/>
    <w:rsid w:val="00DE6953"/>
    <w:rsid w:val="00DE6DAE"/>
    <w:rsid w:val="00DF19C1"/>
    <w:rsid w:val="00DF54CA"/>
    <w:rsid w:val="00DF5B64"/>
    <w:rsid w:val="00E016E6"/>
    <w:rsid w:val="00E02794"/>
    <w:rsid w:val="00E043E3"/>
    <w:rsid w:val="00E0505B"/>
    <w:rsid w:val="00E07B48"/>
    <w:rsid w:val="00E11280"/>
    <w:rsid w:val="00E12359"/>
    <w:rsid w:val="00E152FF"/>
    <w:rsid w:val="00E2461B"/>
    <w:rsid w:val="00E24886"/>
    <w:rsid w:val="00E2758C"/>
    <w:rsid w:val="00E276FB"/>
    <w:rsid w:val="00E32595"/>
    <w:rsid w:val="00E33A74"/>
    <w:rsid w:val="00E37064"/>
    <w:rsid w:val="00E4030B"/>
    <w:rsid w:val="00E41D56"/>
    <w:rsid w:val="00E457DF"/>
    <w:rsid w:val="00E46642"/>
    <w:rsid w:val="00E5139A"/>
    <w:rsid w:val="00E5413D"/>
    <w:rsid w:val="00E57977"/>
    <w:rsid w:val="00E635D7"/>
    <w:rsid w:val="00E70576"/>
    <w:rsid w:val="00E72612"/>
    <w:rsid w:val="00E83954"/>
    <w:rsid w:val="00E91011"/>
    <w:rsid w:val="00E915AF"/>
    <w:rsid w:val="00E91730"/>
    <w:rsid w:val="00E96F04"/>
    <w:rsid w:val="00E971C6"/>
    <w:rsid w:val="00E97AEC"/>
    <w:rsid w:val="00EA20FE"/>
    <w:rsid w:val="00EB235A"/>
    <w:rsid w:val="00EB491E"/>
    <w:rsid w:val="00EB681B"/>
    <w:rsid w:val="00EB7333"/>
    <w:rsid w:val="00EC4FAD"/>
    <w:rsid w:val="00EE3CFA"/>
    <w:rsid w:val="00EE69E4"/>
    <w:rsid w:val="00EF2558"/>
    <w:rsid w:val="00EF2A7F"/>
    <w:rsid w:val="00EF4A90"/>
    <w:rsid w:val="00EF7E90"/>
    <w:rsid w:val="00F002B6"/>
    <w:rsid w:val="00F00BF5"/>
    <w:rsid w:val="00F05C26"/>
    <w:rsid w:val="00F10AFE"/>
    <w:rsid w:val="00F15C6C"/>
    <w:rsid w:val="00F17173"/>
    <w:rsid w:val="00F22449"/>
    <w:rsid w:val="00F224DC"/>
    <w:rsid w:val="00F22623"/>
    <w:rsid w:val="00F2687F"/>
    <w:rsid w:val="00F27F29"/>
    <w:rsid w:val="00F32D54"/>
    <w:rsid w:val="00F36C54"/>
    <w:rsid w:val="00F418EA"/>
    <w:rsid w:val="00F41A29"/>
    <w:rsid w:val="00F44C1C"/>
    <w:rsid w:val="00F45F54"/>
    <w:rsid w:val="00F518DF"/>
    <w:rsid w:val="00F544DB"/>
    <w:rsid w:val="00F6502E"/>
    <w:rsid w:val="00F65663"/>
    <w:rsid w:val="00F7506E"/>
    <w:rsid w:val="00F756C0"/>
    <w:rsid w:val="00F75A40"/>
    <w:rsid w:val="00F77360"/>
    <w:rsid w:val="00F77637"/>
    <w:rsid w:val="00F8063A"/>
    <w:rsid w:val="00F8435D"/>
    <w:rsid w:val="00F87DD0"/>
    <w:rsid w:val="00F93360"/>
    <w:rsid w:val="00F93FE4"/>
    <w:rsid w:val="00F969AD"/>
    <w:rsid w:val="00F97E4E"/>
    <w:rsid w:val="00FA217B"/>
    <w:rsid w:val="00FB0BC5"/>
    <w:rsid w:val="00FB0BCC"/>
    <w:rsid w:val="00FC0FE5"/>
    <w:rsid w:val="00FC232B"/>
    <w:rsid w:val="00FD1ABC"/>
    <w:rsid w:val="00FD2CD0"/>
    <w:rsid w:val="00FD7DDF"/>
    <w:rsid w:val="00FE2F30"/>
    <w:rsid w:val="00FE4C92"/>
    <w:rsid w:val="00FE5FC5"/>
    <w:rsid w:val="00FE748F"/>
    <w:rsid w:val="00FF0FAA"/>
    <w:rsid w:val="00FF4396"/>
    <w:rsid w:val="00FF5938"/>
  </w:rsids>
  <m:mathPr>
    <m:mathFont m:val="Cambria Math"/>
    <m:brkBin m:val="before"/>
    <m:brkBinSub m:val="--"/>
    <m:smallFrac m:val="0"/>
    <m:dispDef/>
    <m:lMargin m:val="0"/>
    <m:rMargin m:val="0"/>
    <m:defJc m:val="centerGroup"/>
    <m:wrapIndent m:val="1440"/>
    <m:intLim m:val="subSup"/>
    <m:naryLim m:val="undOvr"/>
  </m:mathPr>
  <w:themeFontLang w:val="es-ES"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CFDB28"/>
  <w15:docId w15:val="{EAC86037-EC73-48CC-B4A8-E61A8DD6D51C}"/>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en-GB"/>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qFormat="1"/>
    <w:lsdException w:name="annotation text" w:semiHidden="1" w:uiPriority="0" w:unhideWhenUsed="1"/>
    <w:lsdException w:name="header" w:locked="1" w:semiHidden="1" w:uiPriority="0"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6C0"/>
    <w:pPr>
      <w:overflowPunct w:val="0"/>
      <w:autoSpaceDE w:val="0"/>
      <w:autoSpaceDN w:val="0"/>
      <w:adjustRightInd w:val="0"/>
      <w:spacing w:line="288" w:lineRule="auto"/>
      <w:jc w:val="both"/>
      <w:textAlignment w:val="baseline"/>
    </w:pPr>
    <w:rPr>
      <w:szCs w:val="20"/>
      <w:lang w:eastAsia="en-US" w:bidi="ar-SA"/>
    </w:rPr>
  </w:style>
  <w:style w:type="paragraph" w:styleId="Heading1">
    <w:name w:val="heading 1"/>
    <w:basedOn w:val="Normal"/>
    <w:next w:val="Normal"/>
    <w:link w:val="Heading1Char"/>
    <w:qFormat/>
    <w:rsid w:val="00A316C0"/>
    <w:pPr>
      <w:numPr>
        <w:numId w:val="1"/>
      </w:numPr>
      <w:outlineLvl w:val="0"/>
    </w:pPr>
    <w:rPr>
      <w:kern w:val="28"/>
    </w:rPr>
  </w:style>
  <w:style w:type="paragraph" w:styleId="Heading2">
    <w:name w:val="heading 2"/>
    <w:basedOn w:val="Normal"/>
    <w:next w:val="Normal"/>
    <w:link w:val="Heading2Char"/>
    <w:qFormat/>
    <w:rsid w:val="00A316C0"/>
    <w:pPr>
      <w:numPr>
        <w:ilvl w:val="1"/>
        <w:numId w:val="1"/>
      </w:numPr>
      <w:ind w:left="720" w:hanging="720"/>
      <w:outlineLvl w:val="1"/>
    </w:pPr>
  </w:style>
  <w:style w:type="paragraph" w:styleId="Heading3">
    <w:name w:val="heading 3"/>
    <w:basedOn w:val="Normal"/>
    <w:next w:val="Normal"/>
    <w:link w:val="Heading3Char"/>
    <w:qFormat/>
    <w:rsid w:val="00A316C0"/>
    <w:pPr>
      <w:numPr>
        <w:ilvl w:val="2"/>
        <w:numId w:val="1"/>
      </w:numPr>
      <w:ind w:left="720" w:hanging="720"/>
      <w:outlineLvl w:val="2"/>
    </w:pPr>
  </w:style>
  <w:style w:type="paragraph" w:styleId="Heading4">
    <w:name w:val="heading 4"/>
    <w:basedOn w:val="Normal"/>
    <w:next w:val="Normal"/>
    <w:link w:val="Heading4Char"/>
    <w:qFormat/>
    <w:rsid w:val="00A316C0"/>
    <w:pPr>
      <w:numPr>
        <w:ilvl w:val="3"/>
        <w:numId w:val="1"/>
      </w:numPr>
      <w:ind w:left="720" w:hanging="720"/>
      <w:outlineLvl w:val="3"/>
    </w:pPr>
  </w:style>
  <w:style w:type="paragraph" w:styleId="Heading5">
    <w:name w:val="heading 5"/>
    <w:basedOn w:val="Normal"/>
    <w:next w:val="Normal"/>
    <w:link w:val="Heading5Char"/>
    <w:qFormat/>
    <w:rsid w:val="00A316C0"/>
    <w:pPr>
      <w:numPr>
        <w:ilvl w:val="4"/>
        <w:numId w:val="1"/>
      </w:numPr>
      <w:ind w:left="720" w:hanging="720"/>
      <w:outlineLvl w:val="4"/>
    </w:pPr>
  </w:style>
  <w:style w:type="paragraph" w:styleId="Heading6">
    <w:name w:val="heading 6"/>
    <w:basedOn w:val="Normal"/>
    <w:next w:val="Normal"/>
    <w:link w:val="Heading6Char"/>
    <w:qFormat/>
    <w:rsid w:val="00A316C0"/>
    <w:pPr>
      <w:numPr>
        <w:ilvl w:val="5"/>
        <w:numId w:val="1"/>
      </w:numPr>
      <w:ind w:left="720" w:hanging="720"/>
      <w:outlineLvl w:val="5"/>
    </w:pPr>
  </w:style>
  <w:style w:type="paragraph" w:styleId="Heading7">
    <w:name w:val="heading 7"/>
    <w:basedOn w:val="Normal"/>
    <w:next w:val="Normal"/>
    <w:link w:val="Heading7Char"/>
    <w:qFormat/>
    <w:rsid w:val="00A316C0"/>
    <w:pPr>
      <w:numPr>
        <w:ilvl w:val="6"/>
        <w:numId w:val="1"/>
      </w:numPr>
      <w:ind w:left="720" w:hanging="720"/>
      <w:outlineLvl w:val="6"/>
    </w:pPr>
  </w:style>
  <w:style w:type="paragraph" w:styleId="Heading8">
    <w:name w:val="heading 8"/>
    <w:basedOn w:val="Normal"/>
    <w:next w:val="Normal"/>
    <w:link w:val="Heading8Char"/>
    <w:qFormat/>
    <w:rsid w:val="00A316C0"/>
    <w:pPr>
      <w:numPr>
        <w:ilvl w:val="7"/>
        <w:numId w:val="1"/>
      </w:numPr>
      <w:ind w:left="720" w:hanging="720"/>
      <w:outlineLvl w:val="7"/>
    </w:pPr>
  </w:style>
  <w:style w:type="paragraph" w:styleId="Heading9">
    <w:name w:val="heading 9"/>
    <w:basedOn w:val="Normal"/>
    <w:next w:val="Normal"/>
    <w:link w:val="Heading9Char"/>
    <w:qFormat/>
    <w:rsid w:val="00A316C0"/>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szCs w:val="20"/>
      <w:lang w:eastAsia="en-US" w:bidi="ar-SA"/>
    </w:rPr>
  </w:style>
  <w:style w:type="character" w:customStyle="1" w:styleId="Heading2Char">
    <w:name w:val="Heading 2 Char"/>
    <w:basedOn w:val="DefaultParagraphFont"/>
    <w:link w:val="Heading2"/>
    <w:locked/>
    <w:rsid w:val="00CB1536"/>
    <w:rPr>
      <w:szCs w:val="20"/>
      <w:lang w:eastAsia="en-US" w:bidi="ar-SA"/>
    </w:rPr>
  </w:style>
  <w:style w:type="character" w:customStyle="1" w:styleId="Heading3Char">
    <w:name w:val="Heading 3 Char"/>
    <w:basedOn w:val="DefaultParagraphFont"/>
    <w:link w:val="Heading3"/>
    <w:locked/>
    <w:rsid w:val="00CB1536"/>
    <w:rPr>
      <w:szCs w:val="20"/>
      <w:lang w:eastAsia="en-US" w:bidi="ar-SA"/>
    </w:rPr>
  </w:style>
  <w:style w:type="character" w:customStyle="1" w:styleId="Heading4Char">
    <w:name w:val="Heading 4 Char"/>
    <w:basedOn w:val="DefaultParagraphFont"/>
    <w:link w:val="Heading4"/>
    <w:locked/>
    <w:rsid w:val="00CB1536"/>
    <w:rPr>
      <w:szCs w:val="20"/>
      <w:lang w:eastAsia="en-US" w:bidi="ar-SA"/>
    </w:rPr>
  </w:style>
  <w:style w:type="character" w:customStyle="1" w:styleId="Heading5Char">
    <w:name w:val="Heading 5 Char"/>
    <w:basedOn w:val="DefaultParagraphFont"/>
    <w:link w:val="Heading5"/>
    <w:locked/>
    <w:rsid w:val="00CB1536"/>
    <w:rPr>
      <w:szCs w:val="20"/>
      <w:lang w:eastAsia="en-US" w:bidi="ar-SA"/>
    </w:rPr>
  </w:style>
  <w:style w:type="character" w:customStyle="1" w:styleId="Heading6Char">
    <w:name w:val="Heading 6 Char"/>
    <w:basedOn w:val="DefaultParagraphFont"/>
    <w:link w:val="Heading6"/>
    <w:locked/>
    <w:rsid w:val="00CB1536"/>
    <w:rPr>
      <w:szCs w:val="20"/>
      <w:lang w:eastAsia="en-US" w:bidi="ar-SA"/>
    </w:rPr>
  </w:style>
  <w:style w:type="character" w:customStyle="1" w:styleId="Heading7Char">
    <w:name w:val="Heading 7 Char"/>
    <w:basedOn w:val="DefaultParagraphFont"/>
    <w:link w:val="Heading7"/>
    <w:locked/>
    <w:rsid w:val="00CB1536"/>
    <w:rPr>
      <w:szCs w:val="20"/>
      <w:lang w:eastAsia="en-US" w:bidi="ar-SA"/>
    </w:rPr>
  </w:style>
  <w:style w:type="character" w:customStyle="1" w:styleId="Heading8Char">
    <w:name w:val="Heading 8 Char"/>
    <w:basedOn w:val="DefaultParagraphFont"/>
    <w:link w:val="Heading8"/>
    <w:locked/>
    <w:rsid w:val="00CB1536"/>
    <w:rPr>
      <w:szCs w:val="20"/>
      <w:lang w:eastAsia="en-US" w:bidi="ar-SA"/>
    </w:rPr>
  </w:style>
  <w:style w:type="character" w:customStyle="1" w:styleId="Heading9Char">
    <w:name w:val="Heading 9 Char"/>
    <w:basedOn w:val="DefaultParagraphFont"/>
    <w:link w:val="Heading9"/>
    <w:locked/>
    <w:rsid w:val="00CB1536"/>
    <w:rPr>
      <w:szCs w:val="20"/>
      <w:lang w:eastAsia="en-US" w:bidi="ar-SA"/>
    </w:rPr>
  </w:style>
  <w:style w:type="paragraph" w:styleId="Footer">
    <w:name w:val="footer"/>
    <w:basedOn w:val="Normal"/>
    <w:link w:val="FooterChar"/>
    <w:rsid w:val="00A316C0"/>
  </w:style>
  <w:style w:type="character" w:customStyle="1" w:styleId="FooterChar">
    <w:name w:val="Footer Char"/>
    <w:basedOn w:val="DefaultParagraphFont"/>
    <w:link w:val="Footer"/>
    <w:locked/>
    <w:rsid w:val="00CB1536"/>
    <w:rPr>
      <w:szCs w:val="20"/>
      <w:lang w:eastAsia="en-US" w:bidi="ar-SA"/>
    </w:rPr>
  </w:style>
  <w:style w:type="paragraph" w:styleId="FootnoteText">
    <w:name w:val="footnote text"/>
    <w:basedOn w:val="Normal"/>
    <w:link w:val="FootnoteTextChar"/>
    <w:uiPriority w:val="99"/>
    <w:rsid w:val="00A316C0"/>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locked/>
    <w:rsid w:val="00CB1536"/>
    <w:rPr>
      <w:sz w:val="16"/>
      <w:szCs w:val="20"/>
      <w:lang w:eastAsia="en-US" w:bidi="ar-SA"/>
    </w:rPr>
  </w:style>
  <w:style w:type="paragraph" w:styleId="Header">
    <w:name w:val="header"/>
    <w:basedOn w:val="Normal"/>
    <w:link w:val="HeaderChar"/>
    <w:rsid w:val="00A316C0"/>
  </w:style>
  <w:style w:type="character" w:customStyle="1" w:styleId="HeaderChar">
    <w:name w:val="Header Char"/>
    <w:basedOn w:val="DefaultParagraphFont"/>
    <w:link w:val="Header"/>
    <w:locked/>
    <w:rsid w:val="00CB1536"/>
    <w:rPr>
      <w:szCs w:val="20"/>
      <w:lang w:eastAsia="en-US" w:bidi="ar-SA"/>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uiPriority w:val="99"/>
    <w:rsid w:val="00A316C0"/>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BalloonText">
    <w:name w:val="Balloon Text"/>
    <w:basedOn w:val="Normal"/>
    <w:link w:val="BalloonTextChar"/>
    <w:uiPriority w:val="99"/>
    <w:semiHidden/>
    <w:unhideWhenUsed/>
    <w:rsid w:val="00CB5F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F3C"/>
    <w:rPr>
      <w:rFonts w:ascii="Tahoma" w:hAnsi="Tahoma" w:cs="Tahoma"/>
      <w:sz w:val="16"/>
      <w:szCs w:val="16"/>
      <w:lang w:eastAsia="en-US" w:bidi="ar-SA"/>
    </w:rPr>
  </w:style>
  <w:style w:type="paragraph" w:styleId="ListParagraph">
    <w:name w:val="List Paragraph"/>
    <w:basedOn w:val="Normal"/>
    <w:uiPriority w:val="34"/>
    <w:qFormat/>
    <w:rsid w:val="00D61B0B"/>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Cs w:val="22"/>
      <w:lang w:val="sv-SE"/>
    </w:rPr>
  </w:style>
  <w:style w:type="character" w:styleId="CommentReference">
    <w:name w:val="annotation reference"/>
    <w:basedOn w:val="DefaultParagraphFont"/>
    <w:semiHidden/>
    <w:unhideWhenUsed/>
    <w:rsid w:val="00B04719"/>
    <w:rPr>
      <w:sz w:val="16"/>
      <w:szCs w:val="16"/>
    </w:rPr>
  </w:style>
  <w:style w:type="paragraph" w:styleId="CommentText">
    <w:name w:val="annotation text"/>
    <w:basedOn w:val="Normal"/>
    <w:link w:val="CommentTextChar"/>
    <w:semiHidden/>
    <w:unhideWhenUsed/>
    <w:rsid w:val="00B04719"/>
    <w:pPr>
      <w:spacing w:line="240" w:lineRule="auto"/>
    </w:pPr>
    <w:rPr>
      <w:sz w:val="20"/>
    </w:rPr>
  </w:style>
  <w:style w:type="character" w:customStyle="1" w:styleId="CommentTextChar">
    <w:name w:val="Comment Text Char"/>
    <w:basedOn w:val="DefaultParagraphFont"/>
    <w:link w:val="CommentText"/>
    <w:semiHidden/>
    <w:rsid w:val="00B04719"/>
    <w:rPr>
      <w:sz w:val="20"/>
      <w:szCs w:val="20"/>
      <w:lang w:eastAsia="en-US" w:bidi="ar-SA"/>
    </w:rPr>
  </w:style>
  <w:style w:type="paragraph" w:styleId="CommentSubject">
    <w:name w:val="annotation subject"/>
    <w:basedOn w:val="CommentText"/>
    <w:next w:val="CommentText"/>
    <w:link w:val="CommentSubjectChar"/>
    <w:uiPriority w:val="99"/>
    <w:semiHidden/>
    <w:unhideWhenUsed/>
    <w:rsid w:val="00AC2D0D"/>
    <w:rPr>
      <w:b/>
      <w:bCs/>
    </w:rPr>
  </w:style>
  <w:style w:type="character" w:customStyle="1" w:styleId="CommentSubjectChar">
    <w:name w:val="Comment Subject Char"/>
    <w:basedOn w:val="CommentTextChar"/>
    <w:link w:val="CommentSubject"/>
    <w:uiPriority w:val="99"/>
    <w:semiHidden/>
    <w:rsid w:val="00AC2D0D"/>
    <w:rPr>
      <w:b/>
      <w:bCs/>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9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n@eesc.europa.eu" TargetMode="External"/><Relationship Id="rId18" Type="http://schemas.openxmlformats.org/officeDocument/2006/relationships/footer" Target="footer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2.xml"/><Relationship Id="rId33" Type="http://schemas.openxmlformats.org/officeDocument/2006/relationships/customXml" Target="../customXml/item4.xml"/><Relationship Id="rId16" Type="http://schemas.openxmlformats.org/officeDocument/2006/relationships/header" Target="header2.xml"/><Relationship Id="rId20" Type="http://schemas.openxmlformats.org/officeDocument/2006/relationships/footer" Target="footer4.xml"/><Relationship Id="rId29" Type="http://schemas.microsoft.com/office/2018/08/relationships/commentsExtensible" Target="commentsExtensible.xml"/><Relationship Id="rId6" Type="http://schemas.openxmlformats.org/officeDocument/2006/relationships/numbering" Target="numbering.xml"/><Relationship Id="rId11" Type="http://schemas.openxmlformats.org/officeDocument/2006/relationships/endnotes" Target="endnotes.xml"/><Relationship Id="rId32" Type="http://schemas.openxmlformats.org/officeDocument/2006/relationships/customXml" Target="../customXml/item3.xml"/><Relationship Id="rId15" Type="http://schemas.openxmlformats.org/officeDocument/2006/relationships/header" Target="header1.xml"/><Relationship Id="rId28"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customXml" Target="../customXml/item2.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 Id="rId30" Type="http://schemas.openxmlformats.org/officeDocument/2006/relationships/customXml" Target="../customXml/item1.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5" ma:contentTypeDescription="Defines the documents for Document Manager V2" ma:contentTypeScope="" ma:versionID="2c1675cbfad389376508666cec3e5d68">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6cc54c2c6583edefe17763e92adeb4e6"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V63NAVDT5PV3-197900780-4261</_dlc_DocId>
    <_dlc_DocIdUrl xmlns="01cfe264-354f-4f3f-acd0-cf26eb309336">
      <Url>http://dm2016/eesc/2021/_layouts/15/DocIdRedir.aspx?ID=V63NAVDT5PV3-197900780-4261</Url>
      <Description>V63NAVDT5PV3-197900780-4261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PA</TermName>
          <TermId xmlns="http://schemas.microsoft.com/office/infopath/2007/PartnerControls">ef6fd07e-7d84-45ad-8a75-9a9414a8759c</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2021-06-09T12:00:00+00:00</ProductionDate>
    <FicheYear xmlns="01cfe264-354f-4f3f-acd0-cf26eb309336" xsi:nil="true"/>
    <DocumentNumber xmlns="1bc4b14f-a4b5-43b1-8863-417d54b6b72f">2457</DocumentNumber>
    <DocumentVersion xmlns="01cfe264-354f-4f3f-acd0-cf26eb309336">0</DocumentVersion>
    <DossierNumber xmlns="01cfe264-354f-4f3f-acd0-cf26eb309336">747</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2021-06-24T12:00:00+00:00</MeetingDate>
    <TaxCatchAll xmlns="01cfe264-354f-4f3f-acd0-cf26eb309336">
      <Value>66</Value>
      <Value>58</Value>
      <Value>47</Value>
      <Value>45</Value>
      <Value>42</Value>
      <Value>41</Value>
      <Value>40</Value>
      <Value>39</Value>
      <Value>38</Value>
      <Value>37</Value>
      <Value>35</Value>
      <Value>120</Value>
      <Value>28</Value>
      <Value>116</Value>
      <Value>25</Value>
      <Value>21</Value>
      <Value>19</Value>
      <Value>18</Value>
      <Value>17</Value>
      <Value>16</Value>
      <Value>15</Value>
      <Value>14</Value>
      <Value>13</Value>
      <Value>12</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Rapporteur xmlns="01cfe264-354f-4f3f-acd0-cf26eb309336">BACK</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01cfe264-354f-4f3f-acd0-cf26eb309336">2021</DocumentYear>
    <FicheNumber xmlns="01cfe264-354f-4f3f-acd0-cf26eb309336">7611</FicheNumber>
    <OriginalSender xmlns="01cfe264-354f-4f3f-acd0-cf26eb309336">
      <UserInfo>
        <DisplayName>TDriveSVCUserProd</DisplayName>
        <AccountId>1515</AccountId>
        <AccountType/>
      </UserInfo>
    </OriginalSender>
    <DocumentPart xmlns="01cfe264-354f-4f3f-acd0-cf26eb309336">0</DocumentPart>
    <AdoptionDate xmlns="01cfe264-354f-4f3f-acd0-cf26eb309336" xsi:nil="true"/>
    <RequestingService xmlns="01cfe264-354f-4f3f-acd0-cf26eb309336">Transports, énergie, infrastructures, société de l'information</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TEN</TermName>
          <TermId xmlns="http://schemas.microsoft.com/office/infopath/2007/PartnerControls">f355cbc3-6799-4fde-8779-d4a280a9e014</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bc4b14f-a4b5-43b1-8863-417d54b6b72f"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TEN</TermName>
          <TermId xmlns="http://schemas.microsoft.com/office/infopath/2007/PartnerControls">5e12260d-3aca-41f8-baf2-ad3d18475f10</TermId>
        </TermInfo>
      </Terms>
    </DossierName_0>
  </documentManagement>
</p:properties>
</file>

<file path=customXml/itemProps1.xml><?xml version="1.0" encoding="utf-8"?>
<ds:datastoreItem xmlns:ds="http://schemas.openxmlformats.org/officeDocument/2006/customXml" ds:itemID="{D6C3EA07-D74C-4D30-8796-C423F74D8B6E}"/>
</file>

<file path=customXml/itemProps2.xml><?xml version="1.0" encoding="utf-8"?>
<ds:datastoreItem xmlns:ds="http://schemas.openxmlformats.org/officeDocument/2006/customXml" ds:itemID="{F21BCAFF-9486-4CB1-A4E5-8D91276E34D6}"/>
</file>

<file path=customXml/itemProps3.xml><?xml version="1.0" encoding="utf-8"?>
<ds:datastoreItem xmlns:ds="http://schemas.openxmlformats.org/officeDocument/2006/customXml" ds:itemID="{81D1B9B9-A2E9-4F03-A1DA-DACDA8CC21D9}"/>
</file>

<file path=customXml/itemProps4.xml><?xml version="1.0" encoding="utf-8"?>
<ds:datastoreItem xmlns:ds="http://schemas.openxmlformats.org/officeDocument/2006/customXml" ds:itemID="{E5A94BE2-A037-4842-9DEC-FF486F721898}"/>
</file>

<file path=docProps/app.xml><?xml version="1.0" encoding="utf-8"?>
<Properties xmlns="http://schemas.openxmlformats.org/officeDocument/2006/extended-properties" xmlns:vt="http://schemas.openxmlformats.org/officeDocument/2006/docPropsVTypes">
  <Template>Styles</Template>
  <TotalTime>0</TotalTime>
  <Pages>1</Pages>
  <Words>2235</Words>
  <Characters>12742</Characters>
  <Application>Microsoft Office Word</Application>
  <DocSecurity>0</DocSecurity>
  <Lines>106</Lines>
  <Paragraphs>29</Paragraphs>
  <ScaleCrop>false</ScaleCrop>
  <HeadingPairs>
    <vt:vector size="6" baseType="variant">
      <vt:variant>
        <vt:lpstr>Title</vt:lpstr>
      </vt:variant>
      <vt:variant>
        <vt:i4>1</vt:i4>
      </vt:variant>
      <vt:variant>
        <vt:lpstr>Rubrik</vt:lpstr>
      </vt:variant>
      <vt:variant>
        <vt:i4>1</vt:i4>
      </vt:variant>
      <vt:variant>
        <vt:lpstr>Titlu</vt:lpstr>
      </vt:variant>
      <vt:variant>
        <vt:i4>1</vt:i4>
      </vt:variant>
    </vt:vector>
  </HeadingPairs>
  <TitlesOfParts>
    <vt:vector size="3" baseType="lpstr">
      <vt:lpstr>Intermodal transport and multimodal logistics  making modes complementary in greening transport (own-initiative opinion)</vt:lpstr>
      <vt:lpstr>Intermodal transport and multimodal logistics  making modes complementary in greening transport (own-initiative opinion)</vt:lpstr>
      <vt:lpstr>European Agenda on Migration: Second implementation package - A permanent crisis relocation mechanism under the Dublin system</vt:lpstr>
    </vt:vector>
  </TitlesOfParts>
  <Company>CESE-CdR</Company>
  <LinksUpToDate>false</LinksUpToDate>
  <CharactersWithSpaces>14948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Intermodal transport and multimodal logistics (own-initiative opinion)</dc:title>
  <dc:subject>Draft opinion</dc:subject>
  <dc:creator>Tomas Vocasek</dc:creator>
  <cp:keywords>EESC-2021-02457-00-00-PA-TRA-EN</cp:keywords>
  <dc:description>Rapporteur: - BACK Original language: - EN Date of document: - 09/06/2021 Date of meeting: - 24/06/2021 External documents: -  Administrator responsible: - MME PAULINOVA Erika</dc:description>
  <cp:lastModifiedBy>TDriveSVCUserProd</cp:lastModifiedBy>
  <cp:revision>4</cp:revision>
  <cp:lastPrinted>2021-06-02T13:43:00Z</cp:lastPrinted>
  <dcterms:created xsi:type="dcterms:W3CDTF">2021-06-09T15:36:00Z</dcterms:created>
  <dcterms:modified xsi:type="dcterms:W3CDTF">2021-06-09T15:38:00Z</dcterms:modified>
  <cp:category>TEN/747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09/06/2021, 07/05/2021, 07/05/2021, 04/11/2015, 27/10/2015, 19/10/2015, 09/10/2015, 05/10/2015, 05/10/2015, 26/08/2015, 26/08/2015, 25/08/2015</vt:lpwstr>
  </property>
  <property fmtid="{D5CDD505-2E9C-101B-9397-08002B2CF9AE}" pid="4" name="Pref_Time">
    <vt:lpwstr>17:33:15, 17:24:29, 17:19:44, 12:10:07, 14:44:02, 16:04:16, 14:09:30, 16:24:55, 16:04:02, 08:56:14, 07:27:56, 17:31:53</vt:lpwstr>
  </property>
  <property fmtid="{D5CDD505-2E9C-101B-9397-08002B2CF9AE}" pid="5" name="Pref_User">
    <vt:lpwstr>amett, amett, htoo, ssex, enied, amett, tvoc, mreg, mreg, amett, enied, ssex</vt:lpwstr>
  </property>
  <property fmtid="{D5CDD505-2E9C-101B-9397-08002B2CF9AE}" pid="6" name="Pref_FileName">
    <vt:lpwstr>EESC-2021-02457-00-00-PA-ORI.docx, EESC-2021-02457-00-00-APA-TRA-EN-CRR.docx, EESC-2021-02457-00-00-APA-CRR-EN.docx, EESC-2015-05408-00-00-PA-CRR-EN.docx, EESC-2015-05408-00-01-APA-ORI.docx, EESC-2015-04319-00-00-TCD-ORI.docx, EESC-2015-04319-00-01-APA-OR</vt:lpwstr>
  </property>
  <property fmtid="{D5CDD505-2E9C-101B-9397-08002B2CF9AE}" pid="7" name="ContentTypeId">
    <vt:lpwstr>0x010100EA97B91038054C99906057A708A1480A009690440AC106F944B6F22BE813F1E9BC</vt:lpwstr>
  </property>
  <property fmtid="{D5CDD505-2E9C-101B-9397-08002B2CF9AE}" pid="8" name="_dlc_DocIdItemGuid">
    <vt:lpwstr>bb98892d-90f5-44f5-b202-74f7366602b6</vt:lpwstr>
  </property>
  <property fmtid="{D5CDD505-2E9C-101B-9397-08002B2CF9AE}" pid="9" name="AvailableTranslations">
    <vt:lpwstr>42;#FI|87606a43-d45f-42d6-b8c9-e1a3457db5b7;#41;#BG|1a1b3951-7821-4e6a-85f5-5673fc08bd2c;#35;#PL|1e03da61-4678-4e07-b136-b5024ca9197b;#4;#FR|d2afafd3-4c81-4f60-8f52-ee33f2f54ff3;#40;#SV|c2ed69e7-a339-43d7-8f22-d93680a92aa0;#16;#IT|0774613c-01ed-4e5d-a25d-11d2388de825;#9;#EN|f2175f21-25d7-44a3-96da-d6a61b075e1b;#45;#RO|feb747a2-64cd-4299-af12-4833ddc30497;#11;#DE|f6b31e5a-26fa-4935-b661-318e46daf27e;#38;#HR|2f555653-ed1a-4fe6-8362-9082d95989e5;#12;#DA|5d49c027-8956-412b-aa16-e85a0f96ad0e;#58;#MT|7df99101-6854-4a26-b53a-b88c0da02c26;#66;#GA|762d2456-c427-4ecb-b312-af3dad8e258c;#17;#NL|55c6556c-b4f4-441d-9acf-c498d4f838bd;#28;#ES|e7a6b05b-ae16-40c8-add9-68b64b03aeba;#18;#LV|46f7e311-5d9f-4663-b433-18aeccb7ace7;#39;#SL|98a412ae-eb01-49e9-ae3d-585a81724cfc;#19;#SK|46d9fce0-ef79-4f71-b89b-cd6aa82426b8;#13;#PT|50ccc04a-eadd-42ae-a0cb-acaf45f812ba;#14;#ET|ff6c3f4c-b02c-4c3c-ab07-2c37995a7a0a;#15;#LT|a7ff5ce7-6123-4f68-865a-a57c31810414;#37;#EL|6d4f4d51-af9b-4650-94b4-4276bee85c91;#21;#HU|6b229040-c589-4408-b4c1-4285663d20a8;#25;#CS|72f9705b-0217-4fd3-bea2-cbc7ed80e26e</vt:lpwstr>
  </property>
  <property fmtid="{D5CDD505-2E9C-101B-9397-08002B2CF9AE}" pid="10" name="DocumentType_0">
    <vt:lpwstr>PA|ef6fd07e-7d84-45ad-8a75-9a9414a8759c</vt:lpwstr>
  </property>
  <property fmtid="{D5CDD505-2E9C-101B-9397-08002B2CF9AE}" pid="11" name="DossierName_0">
    <vt:lpwstr>TEN|5e12260d-3aca-41f8-baf2-ad3d18475f10</vt:lpwstr>
  </property>
  <property fmtid="{D5CDD505-2E9C-101B-9397-08002B2CF9AE}" pid="12" name="DocumentSource_0">
    <vt:lpwstr>EESC|422833ec-8d7e-4e65-8e4e-8bed07ffb729</vt:lpwstr>
  </property>
  <property fmtid="{D5CDD505-2E9C-101B-9397-08002B2CF9AE}" pid="13" name="DocumentNumber">
    <vt:i4>2457</vt:i4>
  </property>
  <property fmtid="{D5CDD505-2E9C-101B-9397-08002B2CF9AE}" pid="14" name="FicheYear">
    <vt:i4>2021</vt:i4>
  </property>
  <property fmtid="{D5CDD505-2E9C-101B-9397-08002B2CF9AE}" pid="15" name="DocumentVersion">
    <vt:i4>0</vt:i4>
  </property>
  <property fmtid="{D5CDD505-2E9C-101B-9397-08002B2CF9AE}" pid="16" name="DossierNumber">
    <vt:i4>747</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47;#TEN|5e12260d-3aca-41f8-baf2-ad3d18475f10</vt:lpwstr>
  </property>
  <property fmtid="{D5CDD505-2E9C-101B-9397-08002B2CF9AE}" pid="20" name="DocumentSource">
    <vt:lpwstr>1;#EESC|422833ec-8d7e-4e65-8e4e-8bed07ffb729</vt:lpwstr>
  </property>
  <property fmtid="{D5CDD505-2E9C-101B-9397-08002B2CF9AE}" pid="22" name="DocumentType">
    <vt:lpwstr>120;#PA|ef6fd07e-7d84-45ad-8a75-9a9414a8759c</vt:lpwstr>
  </property>
  <property fmtid="{D5CDD505-2E9C-101B-9397-08002B2CF9AE}" pid="23" name="RequestingService">
    <vt:lpwstr>Transports, énergie, infrastructures, société de l'information</vt:lpwstr>
  </property>
  <property fmtid="{D5CDD505-2E9C-101B-9397-08002B2CF9AE}" pid="24" name="Confidentiality">
    <vt:lpwstr>5;#Unrestricted|826e22d7-d029-4ec0-a450-0c28ff673572</vt:lpwstr>
  </property>
  <property fmtid="{D5CDD505-2E9C-101B-9397-08002B2CF9AE}" pid="25" name="MeetingName_0">
    <vt:lpwstr>TEN|f355cbc3-6799-4fde-8779-d4a280a9e014</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116;#TEN|f355cbc3-6799-4fde-8779-d4a280a9e014</vt:lpwstr>
  </property>
  <property fmtid="{D5CDD505-2E9C-101B-9397-08002B2CF9AE}" pid="29" name="MeetingDate">
    <vt:filetime>2021-06-24T12:00:00Z</vt:filetime>
  </property>
  <property fmtid="{D5CDD505-2E9C-101B-9397-08002B2CF9AE}" pid="30" name="AvailableTranslations_0">
    <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116;#TEN|f355cbc3-6799-4fde-8779-d4a280a9e014;#47;#TEN|5e12260d-3aca-41f8-baf2-ad3d18475f10;#120;#PA|ef6fd07e-7d84-45ad-8a75-9a9414a8759c;#9;#EN|f2175f21-25d7-44a3-96da-d6a61b075e1b;#7;#TRA|150d2a88-1431-44e6-a8ca-0bb753ab8672;#6;#Final|ea5e6674-7b27-4bac-b091-73adbb394efe;#5;#Unrestricted|826e22d7-d029-4ec0-a450-0c28ff673572;#1;#EESC|422833ec-8d7e-4e65-8e4e-8bed07ffb729</vt:lpwstr>
  </property>
  <property fmtid="{D5CDD505-2E9C-101B-9397-08002B2CF9AE}" pid="34" name="Rapporteur">
    <vt:lpwstr>BACK</vt:lpwstr>
  </property>
  <property fmtid="{D5CDD505-2E9C-101B-9397-08002B2CF9AE}" pid="35" name="VersionStatus_0">
    <vt:lpwstr>Final|ea5e6674-7b27-4bac-b091-73adbb394efe</vt:lpwstr>
  </property>
  <property fmtid="{D5CDD505-2E9C-101B-9397-08002B2CF9AE}" pid="36" name="VersionStatus">
    <vt:lpwstr>6;#Final|ea5e6674-7b27-4bac-b091-73adbb394efe</vt:lpwstr>
  </property>
  <property fmtid="{D5CDD505-2E9C-101B-9397-08002B2CF9AE}" pid="37" name="DocumentYear">
    <vt:i4>2021</vt:i4>
  </property>
  <property fmtid="{D5CDD505-2E9C-101B-9397-08002B2CF9AE}" pid="38" name="FicheNumber">
    <vt:i4>7611</vt:i4>
  </property>
  <property fmtid="{D5CDD505-2E9C-101B-9397-08002B2CF9AE}" pid="39" name="DocumentLanguage">
    <vt:lpwstr>9;#EN|f2175f21-25d7-44a3-96da-d6a61b075e1b</vt:lpwstr>
  </property>
  <property fmtid="{D5CDD505-2E9C-101B-9397-08002B2CF9AE}" pid="40" name="_docset_NoMedatataSyncRequired">
    <vt:lpwstr>False</vt:lpwstr>
  </property>
</Properties>
</file>