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B33D5" w14:textId="77777777" w:rsidR="00646AC2" w:rsidRPr="00AA7E47" w:rsidRDefault="00CC17FD" w:rsidP="009D26DA">
      <w:pPr>
        <w:jc w:val="center"/>
      </w:pPr>
      <w:r>
        <w:rPr>
          <w:noProof/>
          <w:lang w:val="en-US"/>
        </w:rPr>
        <w:drawing>
          <wp:inline distT="0" distB="0" distL="0" distR="0">
            <wp:extent cx="1792605" cy="1241425"/>
            <wp:effectExtent l="0" t="0" r="0" b="0"/>
            <wp:docPr id="1" name="Picture 1" title="EESCLogo_H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553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4AB9871" wp14:editId="57F7E4E1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DB391" w14:textId="77777777" w:rsidR="00F15A8D" w:rsidRPr="005D45BF" w:rsidRDefault="00F15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</w:rPr>
                              <w:t>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4AB9871">
                <v:stroke joinstyle="miter"/>
                <v:path gradientshapeok="t" o:connecttype="rect"/>
              </v:shapetype>
              <v:shape id="Text Box 14" style="position:absolute;left:0;text-align:left;margin-left:533pt;margin-top:793.8pt;width:51pt;height:31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DAtwIAALo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">
                <v:textbox>
                  <w:txbxContent>
                    <w:p w:rsidRPr="005D45BF" w:rsidR="00F15A8D" w:rsidRDefault="00F15A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</w:rPr>
                        <w:t>HR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0EBA9C" w14:textId="77777777" w:rsidR="00D32B59" w:rsidRPr="00AA7E47" w:rsidRDefault="00D32B59" w:rsidP="009D26DA">
      <w:pPr>
        <w:rPr>
          <w:lang w:val="en-GB"/>
        </w:rPr>
      </w:pPr>
    </w:p>
    <w:p w14:paraId="2F19D2F5" w14:textId="77777777" w:rsidR="00646AC2" w:rsidRPr="00AA7E47" w:rsidRDefault="009A4B6F" w:rsidP="009D26DA">
      <w:pPr>
        <w:jc w:val="right"/>
      </w:pPr>
      <w:r>
        <w:rPr>
          <w:b/>
        </w:rPr>
        <w:t>TEN/727</w:t>
      </w:r>
    </w:p>
    <w:p w14:paraId="0CBEC438" w14:textId="77777777" w:rsidR="00563C84" w:rsidRPr="00AA7E47" w:rsidRDefault="009A4B6F" w:rsidP="009D26DA">
      <w:pPr>
        <w:jc w:val="right"/>
      </w:pPr>
      <w:r>
        <w:rPr>
          <w:b/>
        </w:rPr>
        <w:t>Jedinstveni europski željeznički prostor</w:t>
      </w:r>
    </w:p>
    <w:p w14:paraId="0D7A4933" w14:textId="77777777" w:rsidR="009B30AA" w:rsidRPr="00AA7E47" w:rsidRDefault="009B30AA" w:rsidP="009D26DA">
      <w:pPr>
        <w:rPr>
          <w:lang w:val="en-GB"/>
        </w:rPr>
      </w:pPr>
    </w:p>
    <w:p w14:paraId="2756ED7D" w14:textId="77777777" w:rsidR="009B30AA" w:rsidRPr="00AA7E47" w:rsidRDefault="009B30AA" w:rsidP="009D26DA">
      <w:pPr>
        <w:rPr>
          <w:lang w:val="en-GB"/>
        </w:rPr>
      </w:pPr>
    </w:p>
    <w:p w14:paraId="4CE1A495" w14:textId="77777777" w:rsidR="00790BA7" w:rsidRPr="00AA7E47" w:rsidRDefault="00017283" w:rsidP="009D26DA">
      <w:pPr>
        <w:jc w:val="center"/>
        <w:rPr>
          <w:bCs/>
        </w:rPr>
      </w:pPr>
      <w:r>
        <w:rPr>
          <w:b/>
          <w:sz w:val="28"/>
        </w:rPr>
        <w:t>MIŠLJENJE</w:t>
      </w:r>
      <w:r>
        <w:br/>
      </w:r>
      <w:r>
        <w:br/>
        <w:t>Europski gospodarski i socijalni odbor</w:t>
      </w:r>
      <w:r>
        <w:br/>
      </w:r>
      <w:r>
        <w:br/>
      </w:r>
      <w:r>
        <w:rPr>
          <w:b/>
        </w:rPr>
        <w:t>Jedinstveni europski željeznički prostor</w:t>
      </w:r>
      <w:r>
        <w:br/>
        <w:t>[razmatračko mišljenje na zahtjev portugalskog predsjedništva]</w:t>
      </w:r>
    </w:p>
    <w:p w14:paraId="0773CF9C" w14:textId="77777777" w:rsidR="00790BA7" w:rsidRPr="00AA7E47" w:rsidRDefault="00790BA7" w:rsidP="009D26DA">
      <w:pPr>
        <w:jc w:val="center"/>
        <w:rPr>
          <w:lang w:val="en-GB"/>
        </w:rPr>
      </w:pPr>
    </w:p>
    <w:p w14:paraId="00F0413C" w14:textId="77777777" w:rsidR="00704FBB" w:rsidRPr="00AA7E47" w:rsidRDefault="007F5E0D">
      <w:pPr>
        <w:jc w:val="center"/>
        <w:rPr>
          <w:b/>
        </w:rPr>
      </w:pPr>
      <w:r>
        <w:t xml:space="preserve">Izvjestitelj: </w:t>
      </w:r>
      <w:r>
        <w:rPr>
          <w:b/>
        </w:rPr>
        <w:t>Stefan BACK</w:t>
      </w:r>
    </w:p>
    <w:p w14:paraId="1C0338B2" w14:textId="77777777" w:rsidR="00E32DC6" w:rsidRPr="00AA7E47" w:rsidRDefault="00E32DC6">
      <w:pPr>
        <w:rPr>
          <w:lang w:val="en-GB"/>
        </w:rPr>
      </w:pPr>
    </w:p>
    <w:p w14:paraId="42A2CA59" w14:textId="77777777" w:rsidR="00E32DC6" w:rsidRPr="00AA7E47" w:rsidRDefault="00E32DC6">
      <w:pPr>
        <w:rPr>
          <w:lang w:val="en-GB"/>
        </w:rPr>
      </w:pPr>
    </w:p>
    <w:p w14:paraId="798D03B9" w14:textId="77777777" w:rsidR="00C51354" w:rsidRPr="00AA7E47" w:rsidRDefault="00C51354">
      <w:pPr>
        <w:rPr>
          <w:lang w:val="en-GB"/>
        </w:rPr>
        <w:sectPr w:rsidR="00C51354" w:rsidRPr="00AA7E47" w:rsidSect="00AA7E47">
          <w:footerReference w:type="default" r:id="rId12"/>
          <w:pgSz w:w="11907" w:h="16839" w:code="9"/>
          <w:pgMar w:top="1417" w:right="1417" w:bottom="1417" w:left="1417" w:header="709" w:footer="709" w:gutter="0"/>
          <w:pgNumType w:start="1"/>
          <w:cols w:space="720"/>
          <w:docGrid w:linePitch="299"/>
        </w:sectPr>
      </w:pPr>
    </w:p>
    <w:tbl>
      <w:tblPr>
        <w:tblW w:w="9073" w:type="dxa"/>
        <w:tblLook w:val="04A0" w:firstRow="1" w:lastRow="0" w:firstColumn="1" w:lastColumn="0" w:noHBand="0" w:noVBand="1"/>
      </w:tblPr>
      <w:tblGrid>
        <w:gridCol w:w="3117"/>
        <w:gridCol w:w="5956"/>
      </w:tblGrid>
      <w:tr w:rsidR="00F1534A" w:rsidRPr="00AA7E47" w14:paraId="7F61F2DB" w14:textId="77777777" w:rsidTr="007E61FD">
        <w:tc>
          <w:tcPr>
            <w:tcW w:w="3117" w:type="dxa"/>
          </w:tcPr>
          <w:p w14:paraId="31D4DAD3" w14:textId="77777777" w:rsidR="00E25AC4" w:rsidRPr="00AA7E47" w:rsidRDefault="00E25AC4">
            <w:r>
              <w:lastRenderedPageBreak/>
              <w:t xml:space="preserve">Zahtjev za savjetovanje: </w:t>
            </w:r>
          </w:p>
        </w:tc>
        <w:tc>
          <w:tcPr>
            <w:tcW w:w="5956" w:type="dxa"/>
          </w:tcPr>
          <w:p w14:paraId="4DDBABFD" w14:textId="77777777" w:rsidR="00E25AC4" w:rsidRPr="00AA7E47" w:rsidRDefault="00A83B91">
            <w:pPr>
              <w:jc w:val="left"/>
            </w:pPr>
            <w:r>
              <w:t xml:space="preserve">portugalsko predsjedništvo Vijeća EU-a, 26/10/2020 </w:t>
            </w:r>
          </w:p>
        </w:tc>
      </w:tr>
      <w:tr w:rsidR="009C337C" w:rsidRPr="00AA7E47" w14:paraId="7596E4E3" w14:textId="77777777" w:rsidTr="007E61FD">
        <w:tc>
          <w:tcPr>
            <w:tcW w:w="3117" w:type="dxa"/>
          </w:tcPr>
          <w:p w14:paraId="6BAEB59D" w14:textId="77777777" w:rsidR="009C337C" w:rsidRPr="00AA7E47" w:rsidRDefault="009C337C">
            <w:pPr>
              <w:rPr>
                <w:lang w:val="en-GB"/>
              </w:rPr>
            </w:pPr>
          </w:p>
        </w:tc>
        <w:tc>
          <w:tcPr>
            <w:tcW w:w="5956" w:type="dxa"/>
          </w:tcPr>
          <w:p w14:paraId="287A4431" w14:textId="77777777" w:rsidR="009C337C" w:rsidRPr="00AA7E47" w:rsidRDefault="009C337C">
            <w:pPr>
              <w:jc w:val="left"/>
              <w:rPr>
                <w:lang w:val="en-GB"/>
              </w:rPr>
            </w:pPr>
          </w:p>
        </w:tc>
      </w:tr>
      <w:tr w:rsidR="009C337C" w:rsidRPr="00AA7E47" w14:paraId="5AB8B5C6" w14:textId="77777777" w:rsidTr="007E61FD">
        <w:tc>
          <w:tcPr>
            <w:tcW w:w="3117" w:type="dxa"/>
          </w:tcPr>
          <w:p w14:paraId="38D7D78B" w14:textId="77777777" w:rsidR="009C337C" w:rsidRPr="00AA7E47" w:rsidRDefault="009C337C">
            <w:r>
              <w:t>Pravni temelj:</w:t>
            </w:r>
          </w:p>
        </w:tc>
        <w:tc>
          <w:tcPr>
            <w:tcW w:w="5956" w:type="dxa"/>
          </w:tcPr>
          <w:p w14:paraId="4B74CBBC" w14:textId="77777777" w:rsidR="009C337C" w:rsidRPr="00AA7E47" w:rsidRDefault="009C337C" w:rsidP="00EC61A7">
            <w:r>
              <w:t>članak 304. Ugovora o funkcioniranju Europske unije</w:t>
            </w:r>
          </w:p>
        </w:tc>
      </w:tr>
      <w:tr w:rsidR="009C337C" w:rsidRPr="00AA7E47" w14:paraId="718933B7" w14:textId="77777777" w:rsidTr="007E61FD">
        <w:tc>
          <w:tcPr>
            <w:tcW w:w="3117" w:type="dxa"/>
          </w:tcPr>
          <w:p w14:paraId="7B225BE5" w14:textId="77777777" w:rsidR="009C337C" w:rsidRPr="00AA7E47" w:rsidRDefault="009C337C">
            <w:pPr>
              <w:rPr>
                <w:lang w:val="en-GB"/>
              </w:rPr>
            </w:pPr>
          </w:p>
        </w:tc>
        <w:tc>
          <w:tcPr>
            <w:tcW w:w="5956" w:type="dxa"/>
          </w:tcPr>
          <w:p w14:paraId="702C60C4" w14:textId="77777777" w:rsidR="009C337C" w:rsidRPr="00AA7E47" w:rsidRDefault="009C337C">
            <w:pPr>
              <w:jc w:val="left"/>
              <w:rPr>
                <w:lang w:val="en-GB"/>
              </w:rPr>
            </w:pPr>
          </w:p>
        </w:tc>
      </w:tr>
      <w:tr w:rsidR="009C337C" w:rsidRPr="00AA7E47" w14:paraId="55E522C3" w14:textId="77777777" w:rsidTr="007E61FD">
        <w:tc>
          <w:tcPr>
            <w:tcW w:w="3117" w:type="dxa"/>
          </w:tcPr>
          <w:p w14:paraId="3791DEB4" w14:textId="77777777" w:rsidR="009C337C" w:rsidRPr="00AA7E47" w:rsidRDefault="009C337C">
            <w:r>
              <w:t>Nadležna stručna skupina:</w:t>
            </w:r>
          </w:p>
        </w:tc>
        <w:tc>
          <w:tcPr>
            <w:tcW w:w="5956" w:type="dxa"/>
          </w:tcPr>
          <w:p w14:paraId="72197688" w14:textId="77777777" w:rsidR="009C337C" w:rsidRPr="00AA7E47" w:rsidRDefault="009C337C">
            <w:pPr>
              <w:jc w:val="left"/>
            </w:pPr>
            <w:r>
              <w:t>Stručna skupina za promet, energiju, infrastrukturu i informacijsko društvo</w:t>
            </w:r>
          </w:p>
        </w:tc>
      </w:tr>
      <w:tr w:rsidR="009C337C" w:rsidRPr="00AA7E47" w14:paraId="41B58F5D" w14:textId="77777777" w:rsidTr="007E61FD">
        <w:tc>
          <w:tcPr>
            <w:tcW w:w="3117" w:type="dxa"/>
          </w:tcPr>
          <w:p w14:paraId="52736749" w14:textId="77777777" w:rsidR="009C337C" w:rsidRPr="00AA7E47" w:rsidRDefault="009C337C">
            <w:r>
              <w:t>Datum usvajanja u Stručnoj skupini:</w:t>
            </w:r>
          </w:p>
        </w:tc>
        <w:tc>
          <w:tcPr>
            <w:tcW w:w="5956" w:type="dxa"/>
          </w:tcPr>
          <w:p w14:paraId="304E2A32" w14:textId="77777777" w:rsidR="009C337C" w:rsidRPr="00AA7E47" w:rsidRDefault="009C337C">
            <w:pPr>
              <w:jc w:val="left"/>
            </w:pPr>
            <w:r>
              <w:t>09/03/2021</w:t>
            </w:r>
          </w:p>
        </w:tc>
      </w:tr>
      <w:tr w:rsidR="007E61FD" w:rsidRPr="00AA7E47" w14:paraId="258888E7" w14:textId="77777777" w:rsidTr="007E61FD">
        <w:tc>
          <w:tcPr>
            <w:tcW w:w="3117" w:type="dxa"/>
          </w:tcPr>
          <w:p w14:paraId="6D49BC66" w14:textId="77777777" w:rsidR="007E61FD" w:rsidRPr="00AA7E47" w:rsidRDefault="007E61FD">
            <w:r>
              <w:t>Datum usvajanja na plenarnom zasjedanju:</w:t>
            </w:r>
          </w:p>
        </w:tc>
        <w:tc>
          <w:tcPr>
            <w:tcW w:w="5956" w:type="dxa"/>
          </w:tcPr>
          <w:p w14:paraId="40CD782F" w14:textId="77777777" w:rsidR="007E61FD" w:rsidRPr="00AA7E47" w:rsidRDefault="007E61FD">
            <w:pPr>
              <w:jc w:val="left"/>
            </w:pPr>
            <w:r>
              <w:t>24/03/2021</w:t>
            </w:r>
          </w:p>
        </w:tc>
      </w:tr>
      <w:tr w:rsidR="007E61FD" w:rsidRPr="00AA7E47" w14:paraId="2FFE9C9E" w14:textId="77777777" w:rsidTr="007E61FD">
        <w:tc>
          <w:tcPr>
            <w:tcW w:w="3117" w:type="dxa"/>
          </w:tcPr>
          <w:p w14:paraId="01F8D9FE" w14:textId="77777777" w:rsidR="007E61FD" w:rsidRPr="00AA7E47" w:rsidRDefault="007E61FD">
            <w:r>
              <w:t>Plenarno zasjedanje br.:</w:t>
            </w:r>
          </w:p>
        </w:tc>
        <w:tc>
          <w:tcPr>
            <w:tcW w:w="5956" w:type="dxa"/>
          </w:tcPr>
          <w:p w14:paraId="42CF911B" w14:textId="77777777" w:rsidR="007E61FD" w:rsidRPr="00AA7E47" w:rsidRDefault="007E61FD">
            <w:pPr>
              <w:jc w:val="left"/>
            </w:pPr>
            <w:r>
              <w:t>559</w:t>
            </w:r>
          </w:p>
        </w:tc>
      </w:tr>
      <w:tr w:rsidR="007E61FD" w:rsidRPr="00AA7E47" w14:paraId="44A0703E" w14:textId="77777777" w:rsidTr="007E61FD">
        <w:tc>
          <w:tcPr>
            <w:tcW w:w="3117" w:type="dxa"/>
          </w:tcPr>
          <w:p w14:paraId="55CB21C7" w14:textId="77777777" w:rsidR="007E61FD" w:rsidRPr="00AA7E47" w:rsidRDefault="007E61FD" w:rsidP="007E61FD">
            <w:pPr>
              <w:jc w:val="left"/>
            </w:pPr>
            <w:r>
              <w:t>Rezultat glasovanja</w:t>
            </w:r>
            <w:r>
              <w:br/>
              <w:t>(za/protiv/suzdržani):</w:t>
            </w:r>
          </w:p>
        </w:tc>
        <w:tc>
          <w:tcPr>
            <w:tcW w:w="5956" w:type="dxa"/>
          </w:tcPr>
          <w:p w14:paraId="6CDBBAF6" w14:textId="5630A149" w:rsidR="007E61FD" w:rsidRPr="00AA7E47" w:rsidRDefault="00752D7C">
            <w:pPr>
              <w:jc w:val="left"/>
            </w:pPr>
            <w:r>
              <w:rPr>
                <w:lang w:val="en-GB"/>
              </w:rPr>
              <w:t>149/68/10</w:t>
            </w:r>
            <w:bookmarkStart w:id="0" w:name="_GoBack"/>
            <w:bookmarkEnd w:id="0"/>
          </w:p>
        </w:tc>
      </w:tr>
    </w:tbl>
    <w:p w14:paraId="59FEE48C" w14:textId="77777777" w:rsidR="00646AC2" w:rsidRPr="00AA7E47" w:rsidRDefault="00646AC2" w:rsidP="00EC61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</w:pPr>
      <w:r>
        <w:br w:type="page"/>
      </w:r>
    </w:p>
    <w:p w14:paraId="2292A986" w14:textId="77777777" w:rsidR="00011D33" w:rsidRPr="00AA7E47" w:rsidRDefault="00011D33">
      <w:pPr>
        <w:pStyle w:val="Heading1"/>
        <w:keepNext/>
      </w:pPr>
      <w:r>
        <w:rPr>
          <w:b/>
        </w:rPr>
        <w:lastRenderedPageBreak/>
        <w:t>Zaključci i preporuke</w:t>
      </w:r>
    </w:p>
    <w:p w14:paraId="6F7E4B46" w14:textId="77777777" w:rsidR="00BA05B2" w:rsidRPr="00AA7E47" w:rsidRDefault="00BA05B2" w:rsidP="007F17C3">
      <w:pPr>
        <w:rPr>
          <w:lang w:val="en-GB"/>
        </w:rPr>
      </w:pPr>
    </w:p>
    <w:p w14:paraId="5B1AB536" w14:textId="77777777" w:rsidR="008B02EC" w:rsidRPr="00AA7E47" w:rsidRDefault="00B27A8F" w:rsidP="007F17C3">
      <w:pPr>
        <w:ind w:left="720" w:hanging="720"/>
      </w:pPr>
      <w:r>
        <w:t>O pitanjima koje je postavilo portugalsko predsjedništvo</w:t>
      </w:r>
    </w:p>
    <w:p w14:paraId="2AA6D154" w14:textId="77777777" w:rsidR="00B27A8F" w:rsidRPr="00AA7E47" w:rsidRDefault="00B27A8F" w:rsidP="008B02EC">
      <w:pPr>
        <w:rPr>
          <w:lang w:val="en-GB"/>
        </w:rPr>
      </w:pPr>
    </w:p>
    <w:p w14:paraId="5CB94EE4" w14:textId="77777777" w:rsidR="008B02EC" w:rsidRPr="00AA7E47" w:rsidRDefault="00F62DAB" w:rsidP="00F62DAB">
      <w:pPr>
        <w:pStyle w:val="Heading2"/>
      </w:pPr>
      <w:r>
        <w:t>EGSO smatra da je, unatoč znatnim pomacima u pogledu otvaranja tržišta i tehničkog usklađivanja ostvarenog tijekom trideset godina liberalizacije, potrebno učiniti još mnogo toga na političkoj, regulatornoj i kulturnoj razini. U okviru mjera veća se pozornost mora posvetiti razvoju, prilagodbi i učinkovitoj provedbi socijalnog zakonodavstva. Njima se mora nastojati povećati tržišni udio predviđen strategijom Komisije za održivu i pametnu mobilnost te poboljšati okolišna i socijalna održivost.</w:t>
      </w:r>
    </w:p>
    <w:p w14:paraId="4C1476B1" w14:textId="77777777" w:rsidR="008B02EC" w:rsidRPr="00AA7E47" w:rsidRDefault="008B02EC" w:rsidP="008B02EC">
      <w:pPr>
        <w:ind w:left="720" w:hanging="720"/>
        <w:rPr>
          <w:lang w:val="en-GB"/>
        </w:rPr>
      </w:pPr>
    </w:p>
    <w:p w14:paraId="481A336D" w14:textId="77777777" w:rsidR="008B02EC" w:rsidRPr="00AA7E47" w:rsidRDefault="00A50F85" w:rsidP="007F17C3">
      <w:pPr>
        <w:pStyle w:val="Heading2"/>
      </w:pPr>
      <w:r>
        <w:t>Nužne su mjere za olakšavanje prekograničnih operacija smanjenjem potrebe za graničnim kontrolama i uklanjanjem administrativnih problema i kašnjenja na graničnim prijelazima.</w:t>
      </w:r>
    </w:p>
    <w:p w14:paraId="3033AF3F" w14:textId="77777777" w:rsidR="008B02EC" w:rsidRPr="00AA7E47" w:rsidRDefault="008B02EC" w:rsidP="008B02EC">
      <w:pPr>
        <w:ind w:left="720" w:hanging="720"/>
        <w:rPr>
          <w:lang w:val="en-GB"/>
        </w:rPr>
      </w:pPr>
    </w:p>
    <w:p w14:paraId="49D6C4C6" w14:textId="77777777" w:rsidR="008B02EC" w:rsidRPr="00AA7E47" w:rsidRDefault="008B02EC" w:rsidP="007F17C3">
      <w:pPr>
        <w:pStyle w:val="Heading2"/>
      </w:pPr>
      <w:r>
        <w:t>Potrebno je uvesti poboljšanja u pogledu prioriteta u planiranju prometa, planiranja kapaciteta i informacija kako bi se omogućila veća fleksibilnost i optimizirano planiranje kapaciteta, i u odnosu na željezničku infrastrukturu, ali i u odnosu na, primjerice, terminale, što za cilj ima optimizaciju multimodalnih tokova.</w:t>
      </w:r>
    </w:p>
    <w:p w14:paraId="4F47C54F" w14:textId="77777777" w:rsidR="00A50F85" w:rsidRPr="00AA7E47" w:rsidRDefault="00A50F85" w:rsidP="008B02EC">
      <w:pPr>
        <w:ind w:left="720" w:hanging="720"/>
        <w:rPr>
          <w:lang w:val="en-GB"/>
        </w:rPr>
      </w:pPr>
    </w:p>
    <w:p w14:paraId="0F693853" w14:textId="77777777" w:rsidR="008B02EC" w:rsidRPr="00AA7E47" w:rsidRDefault="008B02EC" w:rsidP="00A50F85">
      <w:pPr>
        <w:pStyle w:val="Heading2"/>
      </w:pPr>
      <w:r>
        <w:t>Potrebna su ulaganja u infrastrukturu, ali i digitalizaciju i modernizaciju željezničkih vozila, kao što je digitalizacija uvođenjem europskog sustava za upravljanje željezničkim prometom i automatskog priključivanja, uključujući ulaganje u pravednu tranziciju i razvoj vještina, kako bi se poboljšala protočnost prometa, optimirala upotreba resursa te očuvala radna mjesta.</w:t>
      </w:r>
    </w:p>
    <w:p w14:paraId="52A28CB6" w14:textId="77777777" w:rsidR="00411FC5" w:rsidRPr="00AA7E47" w:rsidRDefault="00411FC5" w:rsidP="00411FC5">
      <w:pPr>
        <w:rPr>
          <w:lang w:val="en-GB"/>
        </w:rPr>
      </w:pPr>
    </w:p>
    <w:p w14:paraId="40FD03AD" w14:textId="77777777" w:rsidR="00A50F85" w:rsidRPr="00AA7E47" w:rsidRDefault="00A50F85" w:rsidP="00D71ECE">
      <w:pPr>
        <w:pStyle w:val="Heading2"/>
      </w:pPr>
      <w:r>
        <w:t>Kako bi se poboljšao željeznički teretni prijevoz, EGSO preporučuje dodatne mjere, npr. suradnju među poduzećima i vrstama prijevoza kako bi se postigla bolja okolišna, socijalna održivost i učinkovitost, ponovno pokretanje europskog sustava pojedinačnog utovara vagona, povezivanje strateške infrastrukture (npr. luka) sa željezničkim rješenjima, ulaganja u industrijske kolosijeke, uključivanje velikih logističkih poduzeća u modalno preusmjeravanje njihovih tokova i osiguravanje okolišno i društveno uzornog postupanja kod svih vrsta prijevoza.</w:t>
      </w:r>
    </w:p>
    <w:p w14:paraId="4582CA5B" w14:textId="77777777" w:rsidR="00A50F85" w:rsidRPr="00AA7E47" w:rsidRDefault="00A50F85" w:rsidP="00411FC5">
      <w:pPr>
        <w:rPr>
          <w:lang w:val="en-GB"/>
        </w:rPr>
      </w:pPr>
    </w:p>
    <w:p w14:paraId="4599DBFA" w14:textId="77777777" w:rsidR="00A50F85" w:rsidRPr="00AA7E47" w:rsidRDefault="00A50F85" w:rsidP="00D71ECE">
      <w:pPr>
        <w:pStyle w:val="Heading2"/>
      </w:pPr>
      <w:r>
        <w:t>Kad je riječ o javnom dugu, EGSO preporučuje da se iz kriterija iz Maastrichta izuzmu javna ulaganja u prometnu infrastrukturu i nakon krize uzrokovane COVID-om 19. Trebalo bi pojačati napore za poticanje ulaganja u željeznički sektor kako bi se promicao socijalno i okolišno održiv promet.</w:t>
      </w:r>
    </w:p>
    <w:p w14:paraId="3A98D445" w14:textId="77777777" w:rsidR="00A50F85" w:rsidRPr="00AA7E47" w:rsidRDefault="00A50F85" w:rsidP="00411FC5">
      <w:pPr>
        <w:rPr>
          <w:lang w:val="en-GB"/>
        </w:rPr>
      </w:pPr>
    </w:p>
    <w:p w14:paraId="14143BBA" w14:textId="77777777" w:rsidR="00E93F32" w:rsidRPr="00AA7E47" w:rsidRDefault="00411FC5" w:rsidP="00BE02C2">
      <w:pPr>
        <w:pStyle w:val="Heading2"/>
      </w:pPr>
      <w:r>
        <w:t>Razvoj infrastrukture, uključujući pravodobno uvođenje koridora osnovne mreže TEN-T i koridora teretne mreže, ključan je te opravdava visoki prioritet kad je riječ o financiranju i planiranju. S obzirom na razvoj željezničke mreže EU-a nakon 2030. posebno je važno nastaviti s razvojem mreže željeznice velikih brzina kojom bi se povezali svi glavni gradovi i veliki gradovi EU-a.</w:t>
      </w:r>
    </w:p>
    <w:p w14:paraId="67440E2F" w14:textId="77777777" w:rsidR="00E93F32" w:rsidRPr="00AA7E47" w:rsidRDefault="00E93F32" w:rsidP="00411FC5">
      <w:pPr>
        <w:ind w:left="570" w:hanging="570"/>
        <w:rPr>
          <w:lang w:val="en-GB"/>
        </w:rPr>
      </w:pPr>
    </w:p>
    <w:p w14:paraId="38E10315" w14:textId="77777777" w:rsidR="00F62DAB" w:rsidRPr="00AA7E47" w:rsidRDefault="00A50F85" w:rsidP="00F62DAB">
      <w:pPr>
        <w:pStyle w:val="Heading2"/>
      </w:pPr>
      <w:r>
        <w:t>EGSO naglašava da su kvalificirani i motivirani radnici te dobri uvjeti rada važni za uspješan razvoj željezničkog prometa. Stoga je važno da se donese odgovarajuće socijalno zakonodavstvo, među ostalim u pogledu upućivanja željezničkog osoblja. EGSO u tom pogledu naglašava važnost istinskog socijalnog dijaloga.</w:t>
      </w:r>
    </w:p>
    <w:p w14:paraId="2B400696" w14:textId="77777777" w:rsidR="00411FC5" w:rsidRPr="00AA7E47" w:rsidRDefault="00E93F32" w:rsidP="00BC2951">
      <w:pPr>
        <w:pStyle w:val="Heading2"/>
      </w:pPr>
      <w:r>
        <w:lastRenderedPageBreak/>
        <w:t>Iskustva stečena tijekom krize izazvane bolešću COVID-19 moraju se iskoristiti za razvoj otpornijeg i učinkovitijeg željezničkog sustava. Planove za otpornost treba osmisliti uz blisko savjetovanje sa socijalnim partnerima.</w:t>
      </w:r>
    </w:p>
    <w:p w14:paraId="524966AF" w14:textId="77777777" w:rsidR="008B02EC" w:rsidRPr="00AA7E47" w:rsidRDefault="008B02EC" w:rsidP="008B02EC">
      <w:pPr>
        <w:ind w:left="720" w:hanging="720"/>
        <w:rPr>
          <w:lang w:val="en-GB"/>
        </w:rPr>
      </w:pPr>
    </w:p>
    <w:p w14:paraId="64F51845" w14:textId="77777777" w:rsidR="008B02EC" w:rsidRPr="00AA7E47" w:rsidRDefault="008B02EC" w:rsidP="00AB26C0">
      <w:pPr>
        <w:pStyle w:val="Heading2"/>
      </w:pPr>
      <w:r>
        <w:t>Prvotno predviđena funkcija upravitelja infrastrukture sama po sebi nedvojbeno je pridonijela osiguravanju raspodjele infrastrukturnih kapaciteta na neovisan, pravedan i nediskriminirajući način te je poboljšala povjerenje operatora u pravedno postupanje. Međutim, naknadnim izmjenama regulatornog okvira u Direktivi 2012/34/EZ predviđa se veći izbor u pogledu organizacijskog modela, s naglaskom na neovisnosti upravitelja infrastrukture u takozvanim osnovnim funkcijama (dodjela slotova, određivanje i naplata pristojbi) i na transparentnosti koju osiguravaju odvojeni računi. Trenutačne odredbe potpuno su primjerene za osiguravanje neovisnosti i transparentnosti koje su potrebne za dobro funkcioniranje unutarnjeg tržišta.</w:t>
      </w:r>
    </w:p>
    <w:p w14:paraId="29B100F6" w14:textId="77777777" w:rsidR="008B02EC" w:rsidRPr="00AA7E47" w:rsidRDefault="008B02EC" w:rsidP="008B02EC">
      <w:pPr>
        <w:ind w:left="720" w:hanging="720"/>
        <w:rPr>
          <w:lang w:val="en-GB"/>
        </w:rPr>
      </w:pPr>
    </w:p>
    <w:p w14:paraId="067E9471" w14:textId="77777777" w:rsidR="00A50F85" w:rsidRPr="00AA7E47" w:rsidRDefault="00A50F85" w:rsidP="00D71ECE">
      <w:pPr>
        <w:pStyle w:val="Heading2"/>
      </w:pPr>
      <w:r>
        <w:t>EGSO naglašava da integrirani željeznički sustavi mogu jamčiti pravednu raspodjelu, baš kao i neintegrirani sustavi. EGSO ukazuje na činjenicu da su se mnoge europske zemlje s razgranatom i uspješnom željezničkom mrežom odlučile za integrirana željeznička poduzeća kako bi osigurale sinergije, bolju koordinaciju, fleksibilnost i očuvanje radnih mjesta na unutarnjem tržištu rada.</w:t>
      </w:r>
    </w:p>
    <w:p w14:paraId="411179EF" w14:textId="77777777" w:rsidR="00A50F85" w:rsidRPr="00AA7E47" w:rsidRDefault="00A50F85" w:rsidP="008B02EC">
      <w:pPr>
        <w:ind w:left="720" w:hanging="720"/>
        <w:rPr>
          <w:lang w:val="en-GB"/>
        </w:rPr>
      </w:pPr>
    </w:p>
    <w:p w14:paraId="567F9938" w14:textId="77777777" w:rsidR="00BA05B2" w:rsidRPr="00AA7E47" w:rsidRDefault="006D4288" w:rsidP="007F17C3">
      <w:pPr>
        <w:pStyle w:val="Heading2"/>
      </w:pPr>
      <w:r>
        <w:t>Mehanizam koordinacije između upravitelja infrastrukture i prijevoznika te europske mreže upravitelja infrastrukture osnovni su elementi koji vode prema postizanju optimizirane učinkovitosti.</w:t>
      </w:r>
    </w:p>
    <w:p w14:paraId="7825D98C" w14:textId="77777777" w:rsidR="00072353" w:rsidRPr="00AA7E47" w:rsidRDefault="00072353" w:rsidP="00072353">
      <w:pPr>
        <w:rPr>
          <w:lang w:val="en-GB"/>
        </w:rPr>
      </w:pPr>
    </w:p>
    <w:p w14:paraId="5F17D8C0" w14:textId="77777777" w:rsidR="00BA05B2" w:rsidRPr="00AA7E47" w:rsidRDefault="00BA05B2" w:rsidP="003B7292">
      <w:pPr>
        <w:keepNext/>
        <w:ind w:left="720" w:hanging="720"/>
      </w:pPr>
      <w:r>
        <w:t>Daljnji zaključci</w:t>
      </w:r>
    </w:p>
    <w:p w14:paraId="30E3388F" w14:textId="77777777" w:rsidR="008B02EC" w:rsidRPr="00AA7E47" w:rsidRDefault="008B02EC" w:rsidP="003B7292">
      <w:pPr>
        <w:pStyle w:val="Heading3"/>
        <w:keepNext/>
        <w:numPr>
          <w:ilvl w:val="0"/>
          <w:numId w:val="0"/>
        </w:numPr>
        <w:ind w:left="570" w:hanging="570"/>
        <w:rPr>
          <w:lang w:val="en-GB"/>
        </w:rPr>
      </w:pPr>
    </w:p>
    <w:p w14:paraId="17FD94A0" w14:textId="77777777" w:rsidR="008B02EC" w:rsidRPr="00AA7E47" w:rsidRDefault="004B500B" w:rsidP="007F17C3">
      <w:pPr>
        <w:pStyle w:val="Heading2"/>
      </w:pPr>
      <w:r>
        <w:t>Upravitelji infrastrukture moraju posvetiti veću pozornost uskim grlima, gradskim područjima, prekograničnim vezama i prekograničnim prometnim tokovima i suradnji.</w:t>
      </w:r>
    </w:p>
    <w:p w14:paraId="763B8D52" w14:textId="77777777" w:rsidR="008B02EC" w:rsidRPr="00AA7E47" w:rsidRDefault="008B02EC" w:rsidP="008B02EC">
      <w:pPr>
        <w:ind w:left="720" w:hanging="720"/>
        <w:rPr>
          <w:lang w:val="en-GB"/>
        </w:rPr>
      </w:pPr>
    </w:p>
    <w:p w14:paraId="65A982C4" w14:textId="77777777" w:rsidR="008B02EC" w:rsidRPr="00AA7E47" w:rsidRDefault="008B02EC" w:rsidP="007F17C3">
      <w:pPr>
        <w:pStyle w:val="Heading2"/>
      </w:pPr>
      <w:r>
        <w:t>Zanimljiva je mogućnost koordiniranog upravljanja prometom i resursima na razini koridora ili EU-a i trebalo bi je razmotriti kao element, primjerice, uvođenja željezničke teretne mreže ili kao dio koridora osnovne mreže TEN-T-a.</w:t>
      </w:r>
    </w:p>
    <w:p w14:paraId="330A7C56" w14:textId="77777777" w:rsidR="008B02EC" w:rsidRPr="00AA7E47" w:rsidRDefault="008B02EC" w:rsidP="008B02EC">
      <w:pPr>
        <w:ind w:left="720" w:hanging="720"/>
        <w:rPr>
          <w:lang w:val="en-GB"/>
        </w:rPr>
      </w:pPr>
    </w:p>
    <w:p w14:paraId="3450AEA2" w14:textId="77777777" w:rsidR="00A22956" w:rsidRPr="00AA7E47" w:rsidRDefault="00BA05B2" w:rsidP="00AB26C0">
      <w:pPr>
        <w:pStyle w:val="Heading2"/>
      </w:pPr>
      <w:r>
        <w:t>EGSO postavlja pitanje treba li željeznici promjena kulture i pristup kojim se puno više naglašavaju potrebe korisnika, kad je riječ o prijevozu putnika i prijevozu robe. Europska godina željeznice 2021. trebala bi se iskoristiti kao prilika za promicanje te promjene ponašanja, razvoj jednostavnije suradnje operatora i korisnika te optimalno iskorištavanje mogućnosti koje nudi digitalizacija.</w:t>
      </w:r>
    </w:p>
    <w:p w14:paraId="164849F5" w14:textId="77777777" w:rsidR="00AB26C0" w:rsidRPr="00AA7E47" w:rsidRDefault="00AB26C0" w:rsidP="003B7292">
      <w:pPr>
        <w:rPr>
          <w:lang w:val="en-GB"/>
        </w:rPr>
      </w:pPr>
    </w:p>
    <w:p w14:paraId="6E49EBF5" w14:textId="77777777" w:rsidR="00AB26C0" w:rsidRPr="00AA7E47" w:rsidRDefault="00AB26C0" w:rsidP="00AB26C0">
      <w:pPr>
        <w:pStyle w:val="Heading2"/>
      </w:pPr>
      <w:r>
        <w:t xml:space="preserve">EGSO napominje da je COVID-19 doveo do odgode ili blokiranja projekata. Sada je važno nadoknaditi izgubljeno vrijeme. </w:t>
      </w:r>
    </w:p>
    <w:p w14:paraId="24EDF970" w14:textId="77777777" w:rsidR="00A22956" w:rsidRPr="00AA7E47" w:rsidRDefault="00A22956" w:rsidP="00BA05B2">
      <w:pPr>
        <w:pStyle w:val="Heading3"/>
        <w:numPr>
          <w:ilvl w:val="0"/>
          <w:numId w:val="0"/>
        </w:numPr>
        <w:ind w:left="570" w:hanging="570"/>
        <w:rPr>
          <w:lang w:val="en-GB"/>
        </w:rPr>
      </w:pPr>
    </w:p>
    <w:p w14:paraId="5886F2A9" w14:textId="77777777" w:rsidR="000A309F" w:rsidRPr="00AA7E47" w:rsidRDefault="00A22956" w:rsidP="0002500B">
      <w:pPr>
        <w:pStyle w:val="Heading2"/>
      </w:pPr>
      <w:r>
        <w:t>Jasno je da bi trebalo uzeti u obzir i trenutačne potrebe za političkim mjerama i unapređenjem željezničkog sustava kako bi se ostvarili ciljevi u pogledu modalnog udjela i kako bi željeznica mogla u potpunosti odigrati svoju ulogu u održivom europskom multimodalnom prometnom sustavu. Državne potpore i državne intervencije i dalje će biti ključne za osiguravanje osnovnih usluga i nakon krize uzrokovane COVID-om 19.</w:t>
      </w:r>
    </w:p>
    <w:p w14:paraId="4C182758" w14:textId="77777777" w:rsidR="00AB26C0" w:rsidRPr="00AA7E47" w:rsidRDefault="00AB26C0" w:rsidP="0002500B">
      <w:pPr>
        <w:ind w:left="567"/>
        <w:rPr>
          <w:lang w:val="en-GB"/>
        </w:rPr>
      </w:pPr>
    </w:p>
    <w:p w14:paraId="55AA2EAA" w14:textId="77777777" w:rsidR="00BE02C2" w:rsidRPr="00AA7E47" w:rsidRDefault="00BE02C2" w:rsidP="00EC61A7">
      <w:pPr>
        <w:pStyle w:val="Heading2"/>
      </w:pPr>
      <w:r>
        <w:lastRenderedPageBreak/>
        <w:t>COVID-19 štetno je utjecao na sve vrste željezničkog putničkog prometa, a posebno na međunarodne linije. Uzimajući u obzir posebnosti željezničkog sektora, njegov gubitak prihoda u 2020. koji je iznosio 26 milijardi eura, gubitke u 2021. te očekivani spori ritam oporavka, potrebna je odgovarajuća i fleksibilna financijska potpora željezničkim prijevoznicima i upraviteljima infrastrukture koja se mora učinkovito primijeniti kako bi se podržao razvoj tržišta željezničkog prijevoza i konkurentnost tog sektora u odnosu na druge načine prijevoza.</w:t>
      </w:r>
    </w:p>
    <w:p w14:paraId="7CCD0579" w14:textId="77777777" w:rsidR="00BE02C2" w:rsidRPr="00AA7E47" w:rsidRDefault="00BE02C2" w:rsidP="003B7292">
      <w:pPr>
        <w:rPr>
          <w:lang w:val="en-GB"/>
        </w:rPr>
      </w:pPr>
    </w:p>
    <w:p w14:paraId="6057EB5D" w14:textId="77777777" w:rsidR="00011D33" w:rsidRPr="00AA7E47" w:rsidRDefault="00AB26C0" w:rsidP="000A309F">
      <w:pPr>
        <w:pStyle w:val="Heading2"/>
      </w:pPr>
      <w:r>
        <w:t>Ugovori o javnim uslugama ključni su za osiguravanje dostupnih, cjenovno pristupačnih i uključivih usluga za sve putnike. EGSO smatra da je izravno sklapanje ugovora o javnim uslugama jedna od najdjelotvornijih i najučinkovitijih mjera za promicanje željezničkog prijevoza putnika.</w:t>
      </w:r>
    </w:p>
    <w:p w14:paraId="27ED4B18" w14:textId="77777777" w:rsidR="00AB26C0" w:rsidRPr="00AA7E47" w:rsidRDefault="00AB26C0" w:rsidP="003B7292">
      <w:pPr>
        <w:rPr>
          <w:lang w:val="en-GB"/>
        </w:rPr>
      </w:pPr>
    </w:p>
    <w:p w14:paraId="5566984E" w14:textId="77777777" w:rsidR="00AB26C0" w:rsidRPr="00AA7E47" w:rsidRDefault="00AB26C0" w:rsidP="00277000">
      <w:pPr>
        <w:pStyle w:val="Heading2"/>
      </w:pPr>
      <w:r>
        <w:t>Europska godina željeznice 2021. izvrsna je prilika za sagledavanje postignutog napretka i postavljanje ciljeva za budućnost. EGSO stoga poziva na nepristranu analizu željezničke politike EU-a i njezinih postignuća u skladu s djelokrugom opisanim u točki 7.2. i ciljevima prometne politike iz članaka 90. i 91. UFEU-a, uzimajući u obzir pravo na pristup odgovarajućoj javnoj usluzi u slučaju nefunkcioniranja tržišta kako je predviđeno Uredbom (EZ) 1370/2007, člankom 14. Protokola 26. UFEU-a i člankom 36. Povelje EU-a o temeljnim pravima.</w:t>
      </w:r>
    </w:p>
    <w:p w14:paraId="5BEDD834" w14:textId="77777777" w:rsidR="00AB26C0" w:rsidRPr="00AA7E47" w:rsidRDefault="00AB26C0" w:rsidP="003B7292">
      <w:pPr>
        <w:rPr>
          <w:lang w:val="en-GB"/>
        </w:rPr>
      </w:pPr>
    </w:p>
    <w:p w14:paraId="4E8C23FF" w14:textId="77777777" w:rsidR="00011D33" w:rsidRPr="00AA7E47" w:rsidRDefault="00011D33" w:rsidP="005558AD">
      <w:pPr>
        <w:pStyle w:val="Heading1"/>
        <w:keepNext/>
      </w:pPr>
      <w:r>
        <w:rPr>
          <w:b/>
        </w:rPr>
        <w:t>Opće napomene/</w:t>
      </w:r>
      <w:r>
        <w:rPr>
          <w:b/>
          <w:bCs/>
        </w:rPr>
        <w:t>pitanja portugalskog predsjedništva</w:t>
      </w:r>
    </w:p>
    <w:p w14:paraId="714DD70F" w14:textId="77777777" w:rsidR="00FD6F1A" w:rsidRPr="00AA7E47" w:rsidRDefault="00FD6F1A" w:rsidP="007F17C3">
      <w:pPr>
        <w:keepNext/>
        <w:rPr>
          <w:lang w:val="en-GB"/>
        </w:rPr>
      </w:pPr>
    </w:p>
    <w:p w14:paraId="52404A17" w14:textId="77777777" w:rsidR="00FD6F1A" w:rsidRPr="00AA7E47" w:rsidRDefault="00FD6F1A" w:rsidP="005558AD">
      <w:pPr>
        <w:pStyle w:val="Heading2"/>
      </w:pPr>
      <w:r>
        <w:t>Predsjedništvo je zatražilo da mišljenje bude usmjereno na sljedeća tri pitanja:</w:t>
      </w:r>
    </w:p>
    <w:p w14:paraId="07674713" w14:textId="77777777" w:rsidR="00FD6F1A" w:rsidRPr="00AA7E47" w:rsidRDefault="00FD6F1A" w:rsidP="005558AD">
      <w:pPr>
        <w:ind w:left="720" w:hanging="720"/>
        <w:rPr>
          <w:lang w:val="en-GB"/>
        </w:rPr>
      </w:pPr>
    </w:p>
    <w:p w14:paraId="201E5AE7" w14:textId="77777777" w:rsidR="00FD6F1A" w:rsidRPr="00AA7E47" w:rsidRDefault="00FD6F1A" w:rsidP="003B7292">
      <w:pPr>
        <w:pStyle w:val="Heading2"/>
      </w:pPr>
      <w:r>
        <w:t>Koje se pouke mogu izvući iz tri desetljeća pokušaja liberalizacije željezničkog sektora u zemljama EU-a (i Ujedinjenoj Kraljevini)?</w:t>
      </w:r>
    </w:p>
    <w:p w14:paraId="47920FD5" w14:textId="77777777" w:rsidR="004A2915" w:rsidRPr="00AA7E47" w:rsidRDefault="004A2915">
      <w:pPr>
        <w:ind w:left="720" w:hanging="720"/>
        <w:rPr>
          <w:lang w:val="en-GB"/>
        </w:rPr>
      </w:pPr>
    </w:p>
    <w:p w14:paraId="497635E5" w14:textId="77777777" w:rsidR="00FD6F1A" w:rsidRPr="00AA7E47" w:rsidRDefault="00FD6F1A" w:rsidP="003B7292">
      <w:pPr>
        <w:pStyle w:val="Heading2"/>
      </w:pPr>
      <w:r>
        <w:t>Je li razdvajanje željezničkog sustava poboljšalo ili naštetilo njegovoj učinkovitosti u cjelini?</w:t>
      </w:r>
    </w:p>
    <w:p w14:paraId="56FE7206" w14:textId="77777777" w:rsidR="004A2915" w:rsidRPr="00AA7E47" w:rsidRDefault="004A2915">
      <w:pPr>
        <w:ind w:left="720" w:hanging="720"/>
        <w:rPr>
          <w:lang w:val="en-GB"/>
        </w:rPr>
      </w:pPr>
    </w:p>
    <w:p w14:paraId="7A69363B" w14:textId="77777777" w:rsidR="00FD6F1A" w:rsidRPr="00AA7E47" w:rsidRDefault="00FD6F1A" w:rsidP="003B7292">
      <w:pPr>
        <w:pStyle w:val="Heading2"/>
      </w:pPr>
      <w:r>
        <w:t>Bi li se razdvajanje upravitelja infrastrukture od željezničkih prijevoznika trebalo temeljiti na „jednakom rješenju za sve” ili bi trebalo promicati više modela?</w:t>
      </w:r>
    </w:p>
    <w:p w14:paraId="31525E69" w14:textId="77777777" w:rsidR="00FD6F1A" w:rsidRPr="00AA7E47" w:rsidRDefault="00FD6F1A" w:rsidP="005558AD">
      <w:pPr>
        <w:ind w:left="720" w:hanging="720"/>
        <w:rPr>
          <w:lang w:val="en-GB"/>
        </w:rPr>
      </w:pPr>
    </w:p>
    <w:p w14:paraId="3FFCA80E" w14:textId="77777777" w:rsidR="00FD6F1A" w:rsidRPr="00AA7E47" w:rsidRDefault="00FD6F1A">
      <w:pPr>
        <w:pStyle w:val="Heading1"/>
        <w:keepNext/>
      </w:pPr>
      <w:r>
        <w:rPr>
          <w:b/>
        </w:rPr>
        <w:t xml:space="preserve">Jedinstveni europski željeznički prostor </w:t>
      </w:r>
    </w:p>
    <w:p w14:paraId="5AC7E69E" w14:textId="77777777" w:rsidR="00FD6F1A" w:rsidRPr="00AA7E47" w:rsidRDefault="00FD6F1A" w:rsidP="007F17C3">
      <w:pPr>
        <w:keepNext/>
        <w:rPr>
          <w:lang w:val="en-GB"/>
        </w:rPr>
      </w:pPr>
    </w:p>
    <w:p w14:paraId="41E72AD1" w14:textId="77777777" w:rsidR="00FD6F1A" w:rsidRPr="00AA7E47" w:rsidRDefault="00FD6F1A" w:rsidP="006728BC">
      <w:pPr>
        <w:pStyle w:val="Heading2"/>
      </w:pPr>
      <w:r>
        <w:t>Jedinstveni europski željeznički prostor opisan je u Bijeloj knjizi iz 1996. pod nazivom „Strategija za revitalizaciju željeznica Zajednice“, koja se provodi u okviru četiriju zakonodavnih paketa donesenih 2001., 2004., 2007. i 2016. Godine 2001. modalni udio željezničkog prijevoza tereta (kopneni prijevoz) iznosio je 17,5 %, 2006. godine iznosio je 17,0 %, a 2018. godine 17,9 %. Modalni udio željezničkog prijevoza putnika razvijao se kako slijedi: 2007. godine iznosio je 6,6 %, 2010. godine 6,6 %, a 2018. godine 6,9 % U području kopnenog prijevoza taj udio iznosio je 2007. godine 6,9 %, 2011. godine 7,0 %, a 2018. godine 7,9 %</w:t>
      </w:r>
      <w:r w:rsidR="00A50F85" w:rsidRPr="00AA7E47">
        <w:rPr>
          <w:vertAlign w:val="superscript"/>
          <w:lang w:val="en-GB"/>
        </w:rPr>
        <w:footnoteReference w:id="2"/>
      </w:r>
      <w:r>
        <w:t>. Unatoč istom zakonodavnom okviru, situacija se u raznim državama članicama razvijala različito.</w:t>
      </w:r>
    </w:p>
    <w:p w14:paraId="3B698830" w14:textId="77777777" w:rsidR="005A1E3B" w:rsidRPr="00AA7E47" w:rsidRDefault="005A1E3B" w:rsidP="005A1E3B">
      <w:pPr>
        <w:rPr>
          <w:lang w:val="en-GB"/>
        </w:rPr>
      </w:pPr>
    </w:p>
    <w:p w14:paraId="5A9A7AC5" w14:textId="77777777" w:rsidR="005A1E3B" w:rsidRPr="00AA7E47" w:rsidRDefault="00210796" w:rsidP="004E25B5">
      <w:pPr>
        <w:pStyle w:val="Heading2"/>
        <w:keepNext/>
        <w:keepLines/>
      </w:pPr>
      <w:r>
        <w:lastRenderedPageBreak/>
        <w:t>Ukratko, tim su paketima otvorena nacionalna i međunarodna tržišta putničkog i teretnog prijevoza, a uvedeno je i tehničko usklađivanje uključujući zahtjeve u pogledu infrastrukture i željezničkih vozila, među ostalim u okviru zajedničkog europskog sustava za upravljanje željezničkim prometom, koji se prije svega upotrebljava unutar mreže TEN-T.</w:t>
      </w:r>
    </w:p>
    <w:p w14:paraId="7364AF88" w14:textId="77777777" w:rsidR="005A1E3B" w:rsidRPr="00AA7E47" w:rsidRDefault="005A1E3B" w:rsidP="005A1E3B">
      <w:pPr>
        <w:rPr>
          <w:lang w:val="en-GB"/>
        </w:rPr>
      </w:pPr>
    </w:p>
    <w:p w14:paraId="78AED7AF" w14:textId="77777777" w:rsidR="00210796" w:rsidRPr="00AA7E47" w:rsidRDefault="00210796" w:rsidP="00486772">
      <w:pPr>
        <w:pStyle w:val="Heading2"/>
      </w:pPr>
      <w:r>
        <w:t>Okvirom se osigurava neovisnost upravitelja infrastrukture u vezi s osnovnim funkcijama kao što su dodjela slotova i osiguravanje zasebnog računovodstvenog sustava za upravitelja infrastrukture.</w:t>
      </w:r>
    </w:p>
    <w:p w14:paraId="66954856" w14:textId="77777777" w:rsidR="00210796" w:rsidRPr="00AA7E47" w:rsidRDefault="00210796" w:rsidP="007F17C3">
      <w:pPr>
        <w:ind w:left="720" w:hanging="720"/>
        <w:rPr>
          <w:lang w:val="en-GB"/>
        </w:rPr>
      </w:pPr>
    </w:p>
    <w:p w14:paraId="0804FD83" w14:textId="77777777" w:rsidR="00210796" w:rsidRPr="00AA7E47" w:rsidRDefault="00A50F85">
      <w:pPr>
        <w:pStyle w:val="Heading2"/>
      </w:pPr>
      <w:r>
        <w:t>Zakonodavni okvir obuhvaća i Direktivu 2007/59/EZ o certificiranju kompetencija, zdravstvenoj sposobnosti i jezičnim kvalifikacijama strojovođa potrebnima u međunarodnom prijevozu, kao i Direktivu 2005/47/EZ o uvjetima rada mobilnih radnika u interoperabilnom prekograničnom prometu. Obje se direktive temelje na sporazumima europskih socijalnih partnera u skladu s člankom 155. UFEU-a.</w:t>
      </w:r>
    </w:p>
    <w:p w14:paraId="427E3E24" w14:textId="77777777" w:rsidR="00210796" w:rsidRPr="00AA7E47" w:rsidRDefault="00210796" w:rsidP="007F17C3">
      <w:pPr>
        <w:ind w:left="720" w:hanging="720"/>
        <w:rPr>
          <w:lang w:val="en-GB"/>
        </w:rPr>
      </w:pPr>
    </w:p>
    <w:p w14:paraId="0022C3B9" w14:textId="77777777" w:rsidR="00210796" w:rsidRPr="00AA7E47" w:rsidRDefault="00210796" w:rsidP="007F17C3">
      <w:pPr>
        <w:pStyle w:val="Heading2"/>
      </w:pPr>
      <w:r>
        <w:t>Okvirom se također predviđa nacionalni mehanizam za koordinaciju između upravitelja infrastrukture i operatora u pogledu održavanja infrastrukture i ciljeva povezanih s kapacitetima, intermodalnosti i interoperabilnosti, pristupa i uporabe infrastrukture te intramodalnosti i kvalitete usluga. Europska mreža upravitelja infrastrukture osigurava suradnju i razmjenu stajališta.</w:t>
      </w:r>
    </w:p>
    <w:p w14:paraId="50BB3F1D" w14:textId="77777777" w:rsidR="00210796" w:rsidRPr="00AA7E47" w:rsidRDefault="00210796" w:rsidP="007F17C3">
      <w:pPr>
        <w:ind w:left="720" w:hanging="720"/>
        <w:rPr>
          <w:lang w:val="en-GB"/>
        </w:rPr>
      </w:pPr>
    </w:p>
    <w:p w14:paraId="3A710A23" w14:textId="77777777" w:rsidR="005A1E3B" w:rsidRPr="00AA7E47" w:rsidRDefault="00210796" w:rsidP="007F17C3">
      <w:pPr>
        <w:pStyle w:val="Heading2"/>
      </w:pPr>
      <w:r>
        <w:t>Pravila o putničkom prijevozu obuhvaćaju odredbe o ugovorima o javnim uslugama i javnoj nabavi te mogućnosti da se objavljuju opća pravila o određivanju cijena i razinama usluge. Javni prijevoz putnika uređen je Uredbom o obvezi pružanja javnih usluga br. 1370/2007 (koja je izmijenjena Uredbom (EU) 2016/2338) kojom se od nadležnih tijela zahtijeva da ugovore o obavljanju javnih usluga dodjeljuju u skladu s pravilima iz Uredbe. Njima su obuhvaćene ovlasti nadležnih tijela i država članica u pogledu nametanja socijalnih kriterija, socijalnih standarda i premještaja osoblja u slučaju promjene prijevoznika.</w:t>
      </w:r>
    </w:p>
    <w:p w14:paraId="1D9EB756" w14:textId="77777777" w:rsidR="00017BD3" w:rsidRPr="00AA7E47" w:rsidRDefault="00017BD3" w:rsidP="007F17C3">
      <w:pPr>
        <w:rPr>
          <w:lang w:val="en-GB"/>
        </w:rPr>
      </w:pPr>
    </w:p>
    <w:p w14:paraId="6CEC10D1" w14:textId="77777777" w:rsidR="00FD6F1A" w:rsidRPr="00AA7E47" w:rsidRDefault="00FD6F1A" w:rsidP="005558AD">
      <w:pPr>
        <w:pStyle w:val="Heading1"/>
        <w:keepNext/>
      </w:pPr>
      <w:r>
        <w:rPr>
          <w:b/>
        </w:rPr>
        <w:t xml:space="preserve">Trenutačno stanje provedbe – problemi preostali nakon 30 godina </w:t>
      </w:r>
    </w:p>
    <w:p w14:paraId="374E1312" w14:textId="77777777" w:rsidR="005764D7" w:rsidRPr="00AA7E47" w:rsidRDefault="005764D7" w:rsidP="005558AD">
      <w:pPr>
        <w:keepNext/>
        <w:ind w:left="720" w:hanging="720"/>
        <w:rPr>
          <w:lang w:val="en-GB"/>
        </w:rPr>
      </w:pPr>
    </w:p>
    <w:p w14:paraId="493E57CE" w14:textId="77777777" w:rsidR="008D23AE" w:rsidRPr="00AA7E47" w:rsidRDefault="00972A91" w:rsidP="00972A91">
      <w:pPr>
        <w:pStyle w:val="Heading2"/>
      </w:pPr>
      <w:r>
        <w:t>Nastojanja da se otvore međunarodna i nacionalna tržišta željezničkog prijevoza robe i putnika te usklade različita tehnička i sigurnosna pravila radi stvaranja jedinstvenog europskog željezničkog prostora nisu u protekla tri desetljeća postigla željeni ukupni rezultat.</w:t>
      </w:r>
    </w:p>
    <w:p w14:paraId="77BB5180" w14:textId="77777777" w:rsidR="008D23AE" w:rsidRPr="00AA7E47" w:rsidRDefault="008D23AE" w:rsidP="007F17C3">
      <w:pPr>
        <w:pStyle w:val="Heading2"/>
        <w:numPr>
          <w:ilvl w:val="0"/>
          <w:numId w:val="0"/>
        </w:numPr>
        <w:ind w:left="567" w:hanging="567"/>
        <w:rPr>
          <w:lang w:val="en-GB"/>
        </w:rPr>
      </w:pPr>
    </w:p>
    <w:p w14:paraId="68328945" w14:textId="77777777" w:rsidR="00BE02C2" w:rsidRPr="00AA7E47" w:rsidRDefault="00BE02C2" w:rsidP="00EC61A7">
      <w:pPr>
        <w:pStyle w:val="Heading2"/>
      </w:pPr>
      <w:r>
        <w:t>Također treba podsjetiti da se, u pogledu međunarodnih željezničkih putničkih linija i razvoja kapaciteta tog segmenta tržišta, strategijom EU-a za održivu i pametnu mobilnost nastoji do 2050. ostvariti potpuno operativna, multimodalna transeuropska prometna mreža (TEN-T) za održiv i pametan prijevoz opremljena vezama velike brzine, čime bi trebalo omogućiti povezivanje velikih gradova EU-a održivim željezničkim uslugama koje bi mogle postupno i barem djelomice zamijeniti zračne veze unutar kontinenta.</w:t>
      </w:r>
    </w:p>
    <w:p w14:paraId="75C8F9F3" w14:textId="77777777" w:rsidR="00BE02C2" w:rsidRPr="00AA7E47" w:rsidRDefault="00BE02C2" w:rsidP="00EC61A7">
      <w:pPr>
        <w:rPr>
          <w:lang w:val="en-GB"/>
        </w:rPr>
      </w:pPr>
    </w:p>
    <w:p w14:paraId="3A29CFF8" w14:textId="77777777" w:rsidR="00B56366" w:rsidRPr="00AA7E47" w:rsidRDefault="00FD6F1A" w:rsidP="004E25B5">
      <w:pPr>
        <w:pStyle w:val="Heading2"/>
        <w:keepNext/>
        <w:keepLines/>
      </w:pPr>
      <w:r>
        <w:lastRenderedPageBreak/>
        <w:t>Unatoč potpunom otvaranju tržišta, mjerama za osiguravanje slobodnog i nediskriminirajućeg pristupa infrastrukturi, usklađenim tehničkim pravilima i administrativnom pojednostavljenju, željeznica i dalje pokazuje znatne nedostatke u pogledu sposobnosti da poveća svoj modalni udio i u putničkom i u teretnom prijevozu. Više nedostataka navedeno je u radnom dokumentu službi Komisije iz 2020. priloženom Komunikaciji Komisije o strategiji za održivu i pametnu mobilnost (u nastavku: radni dokument), uz niz sugestija</w:t>
      </w:r>
      <w:r w:rsidR="000D7C0B" w:rsidRPr="00AA7E47">
        <w:rPr>
          <w:rStyle w:val="FootnoteReference"/>
          <w:lang w:val="en-GB"/>
        </w:rPr>
        <w:footnoteReference w:id="3"/>
      </w:r>
      <w:r>
        <w:t xml:space="preserve">. Slična se stajališta u pogledu tereta pojavljuju u tematskom izvješću Europskog revizorskog suda iz 2016. „Željeznički prijevoz tereta u EU-u i dalje nije na pravome putu”. </w:t>
      </w:r>
    </w:p>
    <w:p w14:paraId="63883414" w14:textId="77777777" w:rsidR="00B56366" w:rsidRPr="00AA7E47" w:rsidRDefault="00B56366">
      <w:pPr>
        <w:ind w:left="720" w:hanging="720"/>
        <w:rPr>
          <w:lang w:val="en-GB"/>
        </w:rPr>
      </w:pPr>
    </w:p>
    <w:p w14:paraId="7B42D72D" w14:textId="77777777" w:rsidR="00A50F85" w:rsidRPr="00AA7E47" w:rsidRDefault="00A50F85" w:rsidP="000B7AA7">
      <w:pPr>
        <w:pStyle w:val="Heading2"/>
      </w:pPr>
      <w:r>
        <w:t>EGSO smatra da analiza ograničena na provedbu pravnog okvira EU-a i mjerenje stupnja otvorenosti tržišta nije dovoljna za cjelovitu raščlambu i razumijevanje nedostataka jedinstvenog europskog željezničkog prostora. EGSO stoga zahtijeva opsežnu i sveobuhvatnu analizu čimbenika uspjeha i problema, uz procjenu postojećeg okvira, uključujući njegov učinak na uvjete rada, imajući na umu obvezu iz članaka 90. i 91. UFEU-a o uspostavi unutarnjeg tržišta s usklađenim pravilima za međunarodni prijevoz i o uvjetima definiranja kabotaže, kao i članak 14. UFEU-a o uslugama od općeg gospodarskog interesa s obzirom na načela jedinstvenog tržišta i prava tržišnog natjecanja za željeznički promet iz Uredbe (EZ) br. 1370/2007, uzimajući u obzir i relevantnu ulogu država članica iz Protokola 26. UFEU-a i članka 36. Povelje EU-a o temeljnim pravima.</w:t>
      </w:r>
    </w:p>
    <w:p w14:paraId="4E45D979" w14:textId="77777777" w:rsidR="00A50F85" w:rsidRPr="00AA7E47" w:rsidRDefault="00A50F85">
      <w:pPr>
        <w:ind w:left="720" w:hanging="720"/>
        <w:rPr>
          <w:lang w:val="en-GB"/>
        </w:rPr>
      </w:pPr>
    </w:p>
    <w:p w14:paraId="68B4E82C" w14:textId="77777777" w:rsidR="008F6599" w:rsidRPr="00AA7E47" w:rsidRDefault="008F6599">
      <w:pPr>
        <w:pStyle w:val="Heading2"/>
      </w:pPr>
      <w:r>
        <w:t>Otvaranjem tržišta nije postignut ujednačen napredak. Ipak, postoji i niz uspješnih primjera. Tako su Austrija, Njemačka i Švedska poboljšale rezultate u smislu modalnih udjela i obujma željezničkog prijevoza robe, unatoč ukupnom smanjenju na razini EU-a.</w:t>
      </w:r>
      <w:r w:rsidR="00BE40DB" w:rsidRPr="00AA7E47">
        <w:rPr>
          <w:rStyle w:val="FootnoteReference"/>
          <w:lang w:val="en-GB"/>
        </w:rPr>
        <w:footnoteReference w:id="4"/>
      </w:r>
      <w:r>
        <w:t xml:space="preserve"> </w:t>
      </w:r>
    </w:p>
    <w:p w14:paraId="33F826EF" w14:textId="77777777" w:rsidR="008F6599" w:rsidRPr="00AA7E47" w:rsidRDefault="008F6599" w:rsidP="007F17C3">
      <w:pPr>
        <w:pStyle w:val="Heading2"/>
        <w:numPr>
          <w:ilvl w:val="0"/>
          <w:numId w:val="0"/>
        </w:numPr>
        <w:ind w:left="720" w:hanging="720"/>
        <w:rPr>
          <w:lang w:val="en-GB"/>
        </w:rPr>
      </w:pPr>
    </w:p>
    <w:p w14:paraId="51FA6EEC" w14:textId="77777777" w:rsidR="008F6599" w:rsidRPr="00AA7E47" w:rsidRDefault="00F344DE">
      <w:pPr>
        <w:pStyle w:val="Heading2"/>
      </w:pPr>
      <w:r>
        <w:t>Austrijski željeznički prijevoznik u državnom vlasništvu ÖBB uspješno je razvio mrežu međunarodnih veza noćnih putničkih vlakova, iako se njegov udio na domaćem tržištu 2018. smanjio s 88,4 % na 86,5 %. Od ukupnog prometa u iznosu od 2,2 milijarde EUR u 2019., koji se odnosi na putnički prijevoz, čini se da se oko 1,4 milijarde EUR odnosi na obvezu pružanja javnih usluga</w:t>
      </w:r>
      <w:r w:rsidR="00BE40DB" w:rsidRPr="00AA7E47">
        <w:rPr>
          <w:rStyle w:val="FootnoteReference"/>
          <w:lang w:val="en-GB"/>
        </w:rPr>
        <w:footnoteReference w:id="5"/>
      </w:r>
      <w:r>
        <w:t xml:space="preserve">. </w:t>
      </w:r>
    </w:p>
    <w:p w14:paraId="77A70690" w14:textId="77777777" w:rsidR="008F6599" w:rsidRPr="00AA7E47" w:rsidRDefault="008F6599" w:rsidP="007F17C3">
      <w:pPr>
        <w:pStyle w:val="Heading2"/>
        <w:numPr>
          <w:ilvl w:val="0"/>
          <w:numId w:val="0"/>
        </w:numPr>
        <w:ind w:left="720" w:hanging="720"/>
        <w:rPr>
          <w:lang w:val="en-GB"/>
        </w:rPr>
      </w:pPr>
    </w:p>
    <w:p w14:paraId="5DB3AC8F" w14:textId="77777777" w:rsidR="008F6599" w:rsidRPr="00AA7E47" w:rsidRDefault="00A50F85" w:rsidP="000A309F">
      <w:pPr>
        <w:pStyle w:val="Heading2"/>
      </w:pPr>
      <w:r>
        <w:t>Obveza pružanja javnih usluga ključna je za osiguravanje dostupnih, cjenovno pristupačnih i uključivih putničkih usluga za građane. Tržište je otvoreno za komercijalne putničke usluge, često za usluge na velikim udaljenostima. Međutim, promet na velikim udaljenostima i regionalni promet ne mogu se razdvojiti. Svaki vlak koji prometuje na velikim udaljenostima putnicima pruža regionalne usluge, posebno kada se zaustavlja u prigradskim područjima. Regionalne linije osiguravaju potreban broj putnika i promet na glavnim prugama. Osim toga, njima se rasterećuje infrastruktura „glavnih linija” i osigurava distribucija u predmetnom području.</w:t>
      </w:r>
    </w:p>
    <w:p w14:paraId="50EFD9AB" w14:textId="77777777" w:rsidR="008F6599" w:rsidRPr="00AA7E47" w:rsidRDefault="008F6599" w:rsidP="007F17C3">
      <w:pPr>
        <w:pStyle w:val="Heading2"/>
        <w:numPr>
          <w:ilvl w:val="0"/>
          <w:numId w:val="0"/>
        </w:numPr>
        <w:rPr>
          <w:lang w:val="en-GB"/>
        </w:rPr>
      </w:pPr>
    </w:p>
    <w:p w14:paraId="1C7E484B" w14:textId="77777777" w:rsidR="008F6599" w:rsidRPr="00AA7E47" w:rsidRDefault="00926621" w:rsidP="004E25B5">
      <w:pPr>
        <w:pStyle w:val="Heading2"/>
        <w:keepNext/>
        <w:keepLines/>
        <w:numPr>
          <w:ilvl w:val="0"/>
          <w:numId w:val="0"/>
        </w:numPr>
        <w:ind w:left="567"/>
      </w:pPr>
      <w:r>
        <w:lastRenderedPageBreak/>
        <w:t xml:space="preserve">Države članice poduzimaju daljnje inicijative kako bi uvele ključne veze na kojima bi se pružale nove željezničke usluge, uključujući noćne vlakove, u čemu prednjače afirmirani željeznički prijevoznici. Takvi su planovi zapravo već objavljeni, primjerice, u Njemačkoj (TEE 2.0), Nizozemskoj i Švedskoj. EGSO smatra da te inicijative pokazuju složenost željezničkog sustava i da slobodan pristup tržištu – koji je na snazi od 2010. za međunarodni prijevoz putnika – nije pravi instrument za poticanje razvoja (međunarodnog) prijevoza putnika na velikim udaljenostima. Nužna je politička volja i političke odluke o davanju prednosti ekološki prihvatljivim i uključivim rješenjima, što bi trebalo biti popraćeno potrebnim ulaganjima i dobrim upravljanjem. </w:t>
      </w:r>
    </w:p>
    <w:p w14:paraId="33A8308D" w14:textId="77777777" w:rsidR="00926621" w:rsidRPr="00AA7E47" w:rsidRDefault="00926621" w:rsidP="000A309F">
      <w:pPr>
        <w:ind w:left="720" w:hanging="720"/>
        <w:rPr>
          <w:lang w:val="en-GB"/>
        </w:rPr>
      </w:pPr>
    </w:p>
    <w:p w14:paraId="565B59C1" w14:textId="77777777" w:rsidR="00A50F85" w:rsidRPr="00AA7E47" w:rsidRDefault="00A50F85" w:rsidP="00585555">
      <w:pPr>
        <w:pStyle w:val="Heading2"/>
      </w:pPr>
      <w:r>
        <w:t>EGSO smatra da je izravno sklapanje ugovora o javnim uslugama jedna od najdjelotvornijih i najučinkovitijih mjera za promicanje željezničkog prijevoza putnika. To je okosnica željezničkih sustava u npr. Austriji i Švicarskoj, koje su prvaci u pogledu tržišnog udjela. Nadalje, EGSO napominje da ne postoji korelacija između stupnja otvaranja tržišta i zadovoljstva putnika ili cijena karata.</w:t>
      </w:r>
    </w:p>
    <w:p w14:paraId="098F145D" w14:textId="77777777" w:rsidR="00A50F85" w:rsidRPr="00AA7E47" w:rsidRDefault="00A50F85" w:rsidP="00926621">
      <w:pPr>
        <w:ind w:left="720" w:hanging="720"/>
        <w:rPr>
          <w:lang w:val="en-GB"/>
        </w:rPr>
      </w:pPr>
    </w:p>
    <w:p w14:paraId="510CDFB1" w14:textId="77777777" w:rsidR="00926621" w:rsidRPr="00AA7E47" w:rsidRDefault="00926621">
      <w:pPr>
        <w:pStyle w:val="Heading2"/>
      </w:pPr>
      <w:r>
        <w:t>Međutim, prema prethodno navedenom radnom dokumentu Komisije, i dalje postoji niz problema u pogledu otvaranja pristupa tržištu i uvođenja privlačnih željezničkih veza. Osnovni elementi koji se spominju jesu:</w:t>
      </w:r>
    </w:p>
    <w:p w14:paraId="75EE7412" w14:textId="77777777" w:rsidR="00926621" w:rsidRPr="00AA7E47" w:rsidRDefault="00926621" w:rsidP="007F17C3">
      <w:pPr>
        <w:pStyle w:val="Heading2"/>
        <w:numPr>
          <w:ilvl w:val="0"/>
          <w:numId w:val="0"/>
        </w:numPr>
        <w:ind w:left="720" w:hanging="720"/>
        <w:rPr>
          <w:lang w:val="en-GB"/>
        </w:rPr>
      </w:pPr>
    </w:p>
    <w:p w14:paraId="57E7D085" w14:textId="77777777" w:rsidR="00926621" w:rsidRPr="00AA7E47" w:rsidRDefault="00926621">
      <w:pPr>
        <w:pStyle w:val="Heading3"/>
      </w:pPr>
      <w:r>
        <w:t xml:space="preserve">Dostupnost odgovarajućih informacija kako bi se prijevoznicima omogućilo podnošenje odgovarajućih ponuda u okviru natječajnih postupaka, unatoč izmjenama iz četvrtog željezničkog paketa iz 2016. koje su za cilj imale osigurati dostupnosti odgovarajućih informacija za ponuditelje. </w:t>
      </w:r>
    </w:p>
    <w:p w14:paraId="7337736D" w14:textId="77777777" w:rsidR="00926621" w:rsidRPr="00AA7E47" w:rsidRDefault="00926621" w:rsidP="00926621">
      <w:pPr>
        <w:ind w:left="720" w:hanging="720"/>
        <w:rPr>
          <w:lang w:val="en-GB"/>
        </w:rPr>
      </w:pPr>
    </w:p>
    <w:p w14:paraId="31541921" w14:textId="77777777" w:rsidR="00926621" w:rsidRPr="00AA7E47" w:rsidRDefault="00926621">
      <w:pPr>
        <w:pStyle w:val="Heading3"/>
      </w:pPr>
      <w:r>
        <w:t>Pristup željezničkim vozilima ostaje glavni problem za nove prijevoznike. Sama po sebi, dostupnost željezničkih vozila s certifikatom koji vrijedi u cijelom EU-u i dalje je relativno slaba za željeznička vozila za putnički prijevoz i za prijevoz robe.</w:t>
      </w:r>
    </w:p>
    <w:p w14:paraId="0254DCA3" w14:textId="77777777" w:rsidR="00926621" w:rsidRPr="00AA7E47" w:rsidRDefault="00926621" w:rsidP="00926621">
      <w:pPr>
        <w:rPr>
          <w:lang w:val="en-GB"/>
        </w:rPr>
      </w:pPr>
    </w:p>
    <w:p w14:paraId="0CA0FDEF" w14:textId="77777777" w:rsidR="00926621" w:rsidRPr="00AA7E47" w:rsidRDefault="00926621">
      <w:pPr>
        <w:pStyle w:val="Heading3"/>
      </w:pPr>
      <w:r>
        <w:t>Kad je riječ o dostupnosti željezničkih vozila za obvezu pružanja javne usluge putničkog prijevoza, odredbe Uredbe (EZ) br. 1370/2007 o uslugama javnog željezničkog i cestovnog prometa daju nadležnim tijelima mogućnost da po potrebi poduzmu mjere za olakšavanje tog pristupa.</w:t>
      </w:r>
    </w:p>
    <w:p w14:paraId="173A6D74" w14:textId="77777777" w:rsidR="00926621" w:rsidRPr="00AA7E47" w:rsidRDefault="00926621" w:rsidP="00926621">
      <w:pPr>
        <w:ind w:left="720" w:hanging="720"/>
        <w:rPr>
          <w:lang w:val="en-GB"/>
        </w:rPr>
      </w:pPr>
    </w:p>
    <w:p w14:paraId="3785CB61" w14:textId="77777777" w:rsidR="00926621" w:rsidRPr="00AA7E47" w:rsidRDefault="00926621">
      <w:pPr>
        <w:pStyle w:val="Heading3"/>
      </w:pPr>
      <w:r>
        <w:t>Pitanje jedinstvenih ili kombiniranih karata za željeznicu i dalje je problematično, posebno u pogledu ažuriranih informacija o cijenama karata, rezervacijama i prometu.</w:t>
      </w:r>
    </w:p>
    <w:p w14:paraId="22D82770" w14:textId="77777777" w:rsidR="00926621" w:rsidRPr="00AA7E47" w:rsidRDefault="00926621" w:rsidP="00EC61A7">
      <w:pPr>
        <w:ind w:left="720" w:hanging="720"/>
        <w:rPr>
          <w:lang w:val="en-GB"/>
        </w:rPr>
      </w:pPr>
    </w:p>
    <w:p w14:paraId="596DB1BA" w14:textId="77777777" w:rsidR="00926621" w:rsidRPr="00AA7E47" w:rsidRDefault="00926621">
      <w:pPr>
        <w:pStyle w:val="Heading2"/>
      </w:pPr>
      <w:r>
        <w:t>Unatoč odredbama iz četvrtog željezničkog paketa kojima se prijevoznicima omogućuje dobivanje jedinstvene potvrde o sigurnosti koju izdaje Europska agencija za željeznice za poslovanje širom EU-a, niz pravila nije usklađen, što znači dodatnu složenost i troškove za prekogranično poslovanje te konkretno, kašnjenja na graničnim prijelazima. Usklađivanje tih pravila stoga može biti glavna zadaća za budućnost i preduvjet za buduća zajednička digitalna i automatizirana rješenja.</w:t>
      </w:r>
    </w:p>
    <w:p w14:paraId="604815B1" w14:textId="77777777" w:rsidR="00926621" w:rsidRPr="00AA7E47" w:rsidRDefault="00926621" w:rsidP="00926621">
      <w:pPr>
        <w:ind w:left="720" w:hanging="720"/>
        <w:rPr>
          <w:lang w:val="en-GB"/>
        </w:rPr>
      </w:pPr>
    </w:p>
    <w:p w14:paraId="4875216F" w14:textId="77777777" w:rsidR="00A50F85" w:rsidRPr="00AA7E47" w:rsidRDefault="00A50F85" w:rsidP="004E25B5">
      <w:pPr>
        <w:pStyle w:val="Heading2"/>
        <w:keepNext/>
        <w:keepLines/>
      </w:pPr>
      <w:r>
        <w:lastRenderedPageBreak/>
        <w:t>EGSO naglašava da su tehničko usklađivanje i modernizacija infrastrukture ključni čimbenici za postizanje jedinstvenog europskog željezničkog prostora koji dobro funkcionira. Ulaganja u modernizaciju infrastrukture i željezničkih vozila vrlo su skupa. U stvari, inovacije u željezničkom prometu kao što je željeznica velikih brzina razvili su operatori u državnom vlasništvu uz javnu potporu. Postoje posebni propisi o državnim potporama u području istraživanja i inovacija.</w:t>
      </w:r>
    </w:p>
    <w:p w14:paraId="50907C03" w14:textId="77777777" w:rsidR="00A50F85" w:rsidRPr="00AA7E47" w:rsidRDefault="00A50F85" w:rsidP="00926621">
      <w:pPr>
        <w:ind w:left="720" w:hanging="720"/>
        <w:rPr>
          <w:lang w:val="en-GB"/>
        </w:rPr>
      </w:pPr>
    </w:p>
    <w:p w14:paraId="51F24D04" w14:textId="77777777" w:rsidR="00926621" w:rsidRPr="00AA7E47" w:rsidRDefault="00E6744F" w:rsidP="00585555">
      <w:pPr>
        <w:pStyle w:val="Heading2"/>
      </w:pPr>
      <w:r>
        <w:t>EGSO napominje da Komisija po svemu sudeći surađuje sa željezničkim sektorom i državama članicama radi olakšavanja prelaska granica duž željezničkih teretnih koridora. EGSO smatra da je važno da Komisija sastavi opsežan popis postojećih prepreka, uključujući različite probleme u pogledu stavova te da predloži rješenja. S tim u vezi EGSO poziva na to da u pripremnom radu Europske komisije sudjeluju i socijalni partneri.</w:t>
      </w:r>
    </w:p>
    <w:p w14:paraId="578168B2" w14:textId="77777777" w:rsidR="00926621" w:rsidRPr="00AA7E47" w:rsidRDefault="00926621" w:rsidP="00926621">
      <w:pPr>
        <w:ind w:left="720" w:hanging="720"/>
        <w:rPr>
          <w:lang w:val="en-GB"/>
        </w:rPr>
      </w:pPr>
    </w:p>
    <w:p w14:paraId="1A9A5121" w14:textId="77777777" w:rsidR="00926621" w:rsidRPr="00AA7E47" w:rsidRDefault="00926621">
      <w:pPr>
        <w:pStyle w:val="Heading2"/>
      </w:pPr>
      <w:r>
        <w:t xml:space="preserve">Kad je riječ o željezničkom prijevozu tereta, pojavljuje se niz specifičnih pitanja. S obzirom na ta pitanja, u radnom su dokumentu iznesena sljedeća opažanja i prijedlozi. </w:t>
      </w:r>
    </w:p>
    <w:p w14:paraId="2D271803" w14:textId="77777777" w:rsidR="00926621" w:rsidRPr="00AA7E47" w:rsidRDefault="00926621" w:rsidP="00926621">
      <w:pPr>
        <w:rPr>
          <w:lang w:val="en-GB"/>
        </w:rPr>
      </w:pPr>
    </w:p>
    <w:p w14:paraId="4FD0E755" w14:textId="77777777" w:rsidR="00926621" w:rsidRPr="00AA7E47" w:rsidRDefault="00926621">
      <w:pPr>
        <w:pStyle w:val="Heading3"/>
      </w:pPr>
      <w:r>
        <w:t xml:space="preserve">Promijenila se priroda tržišta teretnog prijevoza. Zbog većeg udjela robe koja zahtijeva fleksibilnost i veći stupanj oslanjanja na složene opskrbne lance visoke vrijednosti, željeznica često dolazi u nepovoljan položaj u odnosu na konkurenciju, s obzirom na njezine nedostatke u pogledu točnosti, pouzdanosti, predvidljivosti i fleksibilnosti. Primjerice, u prvom tromjesečju 2018. više od 50 % vlakova u alpskom teretnom koridoru kasnilo je više od tri sata. </w:t>
      </w:r>
    </w:p>
    <w:p w14:paraId="1C478338" w14:textId="77777777" w:rsidR="00926621" w:rsidRPr="00AA7E47" w:rsidRDefault="00926621" w:rsidP="00926621">
      <w:pPr>
        <w:ind w:left="720" w:hanging="720"/>
        <w:rPr>
          <w:lang w:val="en-GB"/>
        </w:rPr>
      </w:pPr>
    </w:p>
    <w:p w14:paraId="7E81BEED" w14:textId="77777777" w:rsidR="00926621" w:rsidRPr="00AA7E47" w:rsidRDefault="00926621">
      <w:pPr>
        <w:pStyle w:val="Heading3"/>
      </w:pPr>
      <w:r>
        <w:t>Informacije o prometu su rijetke, primjerice u pogledu lokacije vlakova i očekivanog vremena dolaska. Povrh toga, općenito nema koordinacije upravljanja kapacitetom i prometom između željezničke infrastrukture i objekata kao što su terminali. To otežava optimizaciju upravljanja resursima.</w:t>
      </w:r>
    </w:p>
    <w:p w14:paraId="52868428" w14:textId="77777777" w:rsidR="00926621" w:rsidRPr="00AA7E47" w:rsidRDefault="00926621" w:rsidP="00926621">
      <w:pPr>
        <w:ind w:left="720" w:hanging="720"/>
        <w:rPr>
          <w:lang w:val="en-GB"/>
        </w:rPr>
      </w:pPr>
    </w:p>
    <w:p w14:paraId="0D88C854" w14:textId="77777777" w:rsidR="00926621" w:rsidRPr="00AA7E47" w:rsidRDefault="00926621">
      <w:pPr>
        <w:pStyle w:val="Heading3"/>
      </w:pPr>
      <w:r>
        <w:t>Nedostatak modernih sustava automatskog priključivanja u EU-u, koji su u širokoj upotrebi u ostatku svijeta, otežava učinkovitost pojedinačnih vagona.</w:t>
      </w:r>
    </w:p>
    <w:p w14:paraId="5379F12B" w14:textId="77777777" w:rsidR="00926621" w:rsidRPr="00AA7E47" w:rsidRDefault="00926621" w:rsidP="00926621">
      <w:pPr>
        <w:ind w:left="720" w:hanging="720"/>
        <w:rPr>
          <w:lang w:val="en-GB"/>
        </w:rPr>
      </w:pPr>
    </w:p>
    <w:p w14:paraId="0825D05F" w14:textId="77777777" w:rsidR="00926621" w:rsidRPr="00AA7E47" w:rsidRDefault="00926621">
      <w:pPr>
        <w:pStyle w:val="Heading3"/>
      </w:pPr>
      <w:r>
        <w:t>Prijevoz tereta dobiva nizak prioritet pri planiranju kapaciteta na prekograničnoj i na nacionalnoj razini.</w:t>
      </w:r>
    </w:p>
    <w:p w14:paraId="2DB78682" w14:textId="77777777" w:rsidR="00926621" w:rsidRPr="00AA7E47" w:rsidRDefault="00926621" w:rsidP="00926621">
      <w:pPr>
        <w:ind w:left="720" w:hanging="720"/>
        <w:rPr>
          <w:lang w:val="en-GB"/>
        </w:rPr>
      </w:pPr>
    </w:p>
    <w:p w14:paraId="74AFF354" w14:textId="77777777" w:rsidR="00926621" w:rsidRPr="00AA7E47" w:rsidRDefault="00926621">
      <w:pPr>
        <w:pStyle w:val="Heading3"/>
      </w:pPr>
      <w:r>
        <w:t>Dugoročno planiranje kapaciteta i voznog reda otežava primjenu poslovnih modela usmjerenih na tržište i onemogućava reakciju željeznice na kratkotrajne zahtjeve korisnika. Dominantan položaj zajamčen domaćem prometu i nedostatak koordinacije prekograničnog planiranja uzrokuju daljnje probleme za prekogranični prijevoz tereta.</w:t>
      </w:r>
    </w:p>
    <w:p w14:paraId="1D16D002" w14:textId="77777777" w:rsidR="00926621" w:rsidRPr="00AA7E47" w:rsidRDefault="00926621" w:rsidP="00926621">
      <w:pPr>
        <w:ind w:left="720" w:hanging="720"/>
        <w:rPr>
          <w:lang w:val="en-GB"/>
        </w:rPr>
      </w:pPr>
    </w:p>
    <w:p w14:paraId="0F36A52F" w14:textId="77777777" w:rsidR="00926621" w:rsidRPr="00AA7E47" w:rsidRDefault="00926621">
      <w:pPr>
        <w:pStyle w:val="Heading3"/>
      </w:pPr>
      <w:r>
        <w:t>Niska profitabilnost smanjuje ulaganja, a ulaganja u infrastrukturu nisu dobro koordinirana preko granica pa čak ni duž ključnih koridora.</w:t>
      </w:r>
    </w:p>
    <w:p w14:paraId="3E6BC85A" w14:textId="77777777" w:rsidR="00926621" w:rsidRPr="00AA7E47" w:rsidRDefault="00926621" w:rsidP="00926621">
      <w:pPr>
        <w:ind w:left="720" w:hanging="720"/>
        <w:rPr>
          <w:lang w:val="en-GB"/>
        </w:rPr>
      </w:pPr>
    </w:p>
    <w:p w14:paraId="47F1FB16" w14:textId="77777777" w:rsidR="00926621" w:rsidRPr="00AA7E47" w:rsidRDefault="00CA297C" w:rsidP="00CA297C">
      <w:pPr>
        <w:pStyle w:val="Heading3"/>
      </w:pPr>
      <w:r>
        <w:lastRenderedPageBreak/>
        <w:t>Nadajmo se da bi barem dio problema koordinacije i planiranja povezanih s prekograničnim prijevozom tereta mogao biti riješen tijekom tekuće evaluacije uredbe kojom se uspostavljaju europski željeznički teretni koridori</w:t>
      </w:r>
      <w:r w:rsidR="00926621" w:rsidRPr="00AA7E47">
        <w:rPr>
          <w:rStyle w:val="FootnoteReference"/>
          <w:lang w:val="en-GB"/>
        </w:rPr>
        <w:footnoteReference w:id="6"/>
      </w:r>
      <w:r>
        <w:t xml:space="preserve">. </w:t>
      </w:r>
    </w:p>
    <w:p w14:paraId="40508478" w14:textId="77777777" w:rsidR="00926621" w:rsidRPr="00AA7E47" w:rsidRDefault="00926621" w:rsidP="00926621">
      <w:pPr>
        <w:ind w:left="720" w:hanging="720"/>
        <w:rPr>
          <w:lang w:val="en-GB"/>
        </w:rPr>
      </w:pPr>
    </w:p>
    <w:p w14:paraId="6BF6D2F2" w14:textId="77777777" w:rsidR="00926621" w:rsidRPr="00AA7E47" w:rsidRDefault="00926621" w:rsidP="007F17C3">
      <w:pPr>
        <w:pStyle w:val="Heading2"/>
      </w:pPr>
      <w:r>
        <w:t xml:space="preserve">Općenito, čini se da postoji potreba za preoblikovanjem procesa upravljanja željezničkim kapacitetom kako bi se prijevoznicima omogućilo da pružaju usluge u skladu s potrebama korisnika, uz odgovarajuću razinu pouzdanosti, točnosti i fleksibilnosti. To među ostalim iziskuje sveobuhvatan pregled upravljanja kapacitetima, uključujući i putnički prijevoz i prijevoz robe, kojim bi se olakšala optimizirana upotreba kapaciteta. </w:t>
      </w:r>
    </w:p>
    <w:p w14:paraId="77078892" w14:textId="77777777" w:rsidR="00926621" w:rsidRPr="00AA7E47" w:rsidRDefault="00926621" w:rsidP="007F17C3">
      <w:pPr>
        <w:pStyle w:val="Heading3"/>
        <w:numPr>
          <w:ilvl w:val="0"/>
          <w:numId w:val="0"/>
        </w:numPr>
        <w:ind w:left="720" w:hanging="720"/>
        <w:rPr>
          <w:lang w:val="en-GB"/>
        </w:rPr>
      </w:pPr>
    </w:p>
    <w:p w14:paraId="770F3036" w14:textId="77777777" w:rsidR="00926621" w:rsidRPr="00AA7E47" w:rsidRDefault="00926621" w:rsidP="007F17C3">
      <w:pPr>
        <w:pStyle w:val="Heading2"/>
      </w:pPr>
      <w:r>
        <w:t>Kad je riječ o željezničkom prijevozu tereta, Europski revizorski sud je u već spomenutom tematskom izvješću o željezničkom prijevozu tereta iznio opažanja slična onima iz radnog dokumenta Komisije.</w:t>
      </w:r>
    </w:p>
    <w:p w14:paraId="1CB98C78" w14:textId="77777777" w:rsidR="00475585" w:rsidRPr="00AA7E47" w:rsidRDefault="00475585" w:rsidP="007F17C3">
      <w:pPr>
        <w:ind w:left="567"/>
        <w:rPr>
          <w:lang w:val="en-GB"/>
        </w:rPr>
      </w:pPr>
    </w:p>
    <w:p w14:paraId="154E8D05" w14:textId="77777777" w:rsidR="00926621" w:rsidRPr="00AA7E47" w:rsidRDefault="00926621" w:rsidP="007E5030">
      <w:pPr>
        <w:ind w:left="567"/>
      </w:pPr>
      <w:r>
        <w:t xml:space="preserve">U tematskom izvješću iznosi se niz preporuka u pogledu boljeg funkcioniranja tržišta prijevoza tereta, uključujući bolji nadzor s ciljem suzbijanja protutržišnog ponašanja postojećih pružatelja usluga i upravitelja infrastrukture, poboljšanje upravljanja prometom u željezničkim teretnim koridorima, praćenje učinkovitosti i bolje utvrđivanje potreba infrastrukture. </w:t>
      </w:r>
    </w:p>
    <w:p w14:paraId="0184BFDA" w14:textId="77777777" w:rsidR="00926621" w:rsidRPr="00AA7E47" w:rsidRDefault="00926621" w:rsidP="00926621">
      <w:pPr>
        <w:pStyle w:val="Heading3"/>
        <w:numPr>
          <w:ilvl w:val="0"/>
          <w:numId w:val="0"/>
        </w:numPr>
        <w:rPr>
          <w:lang w:val="en-GB"/>
        </w:rPr>
      </w:pPr>
    </w:p>
    <w:p w14:paraId="5CC0C92A" w14:textId="77777777" w:rsidR="00926621" w:rsidRPr="00AA7E47" w:rsidRDefault="00926621" w:rsidP="007F17C3">
      <w:pPr>
        <w:pStyle w:val="Heading2"/>
      </w:pPr>
      <w:r>
        <w:t>Tematsko izvješće Europskog revizorskog suda postavlja i pitanje strojovođa, među ostalim u pogledu poznavanja jezika u skladu s Direktivom 2007/59 o davanju ovlaštenja strojovođama te navodi da bi zahtjeve u pogledu znanja jezika iz Priloga VI. točke 8. trebalo zamijeniti zahtjevima za poznavanje jednog jezika koji će se upotrebljavati u međunarodnom željezničkom prometu.</w:t>
      </w:r>
    </w:p>
    <w:p w14:paraId="6AF22839" w14:textId="77777777" w:rsidR="00926621" w:rsidRPr="00AA7E47" w:rsidRDefault="00926621" w:rsidP="00926621">
      <w:pPr>
        <w:rPr>
          <w:lang w:val="en-GB"/>
        </w:rPr>
      </w:pPr>
    </w:p>
    <w:p w14:paraId="66FE0173" w14:textId="77777777" w:rsidR="00926621" w:rsidRPr="00AA7E47" w:rsidRDefault="00926621" w:rsidP="007F17C3">
      <w:pPr>
        <w:pStyle w:val="Heading2"/>
      </w:pPr>
      <w:r>
        <w:t>U tematskom izvješću zaključuje se da je priroda strateških i regulatornih pitanja utvrđenih u tom izvješću takva da u slučaju da se ta pitanja ne riješe dodatna financijska sredstva neće riješiti probleme.</w:t>
      </w:r>
    </w:p>
    <w:p w14:paraId="398A849A" w14:textId="77777777" w:rsidR="00926621" w:rsidRPr="00AA7E47" w:rsidRDefault="00926621" w:rsidP="00926621">
      <w:pPr>
        <w:rPr>
          <w:lang w:val="en-GB"/>
        </w:rPr>
      </w:pPr>
    </w:p>
    <w:p w14:paraId="120DCA09" w14:textId="77777777" w:rsidR="00926621" w:rsidRPr="00AA7E47" w:rsidRDefault="00926621" w:rsidP="007F17C3">
      <w:pPr>
        <w:pStyle w:val="Heading2"/>
      </w:pPr>
      <w:r>
        <w:t xml:space="preserve">Pažnju bi trebalo usmjeriti na Ministarsku deklaraciju o željezničkim teretnim koridorima od 21. rujna 2020. kojom se ističe važnost digitalizacije i pravodobnog uvođenja koridora osnovne mreže TEN-T i primjene zajedničkog europskog sustava za upravljanje željezničkim prometom. </w:t>
      </w:r>
    </w:p>
    <w:p w14:paraId="360C76B0" w14:textId="77777777" w:rsidR="00926621" w:rsidRPr="00AA7E47" w:rsidRDefault="00926621" w:rsidP="00926621">
      <w:pPr>
        <w:ind w:left="720" w:hanging="720"/>
        <w:rPr>
          <w:lang w:val="en-GB"/>
        </w:rPr>
      </w:pPr>
    </w:p>
    <w:p w14:paraId="1732195A" w14:textId="77777777" w:rsidR="00A7486A" w:rsidRPr="00AA7E47" w:rsidRDefault="00926621">
      <w:pPr>
        <w:pStyle w:val="Heading2"/>
      </w:pPr>
      <w:r>
        <w:t xml:space="preserve">Čini se da postoji općenita suglasnost o važnosti kvalificiranog željezničkog osoblja i dobrih radnih uvjeta. To iziskuje mjere za sprečavanje socijalnog dampinga koji je u željezničkom sektoru, baš kao i u drugim prometnim sektorima u EU-u, sve veći uslijed tekućeg otvaranja tržišta. Postojeći propisi, kao što je Direktiva o upućivanju radnika, nisu uvijek primjereni za rješavanje pitanja željezničkih radnika jer ne pokrivaju posebne zahtjeve izrazito mobilnih radnika, primjerice onih u željeznici, a osim toga otežavaju praćenje. EGSO stoga smatra da će, kao i u slučaju cestovnog prijevoza, možda biti potrebni posebni propisi koji se odnose na radnike u željezničkom prometu. </w:t>
      </w:r>
    </w:p>
    <w:p w14:paraId="78035C3F" w14:textId="77777777" w:rsidR="00A7486A" w:rsidRPr="00AA7E47" w:rsidRDefault="00A7486A" w:rsidP="003B7292">
      <w:pPr>
        <w:rPr>
          <w:lang w:val="en-GB"/>
        </w:rPr>
      </w:pPr>
    </w:p>
    <w:p w14:paraId="33F6D2D3" w14:textId="77777777" w:rsidR="004A5EAA" w:rsidRPr="00AA7E47" w:rsidRDefault="004A5EAA" w:rsidP="004E25B5">
      <w:pPr>
        <w:pStyle w:val="Heading2"/>
        <w:keepNext/>
        <w:keepLines/>
      </w:pPr>
      <w:r>
        <w:lastRenderedPageBreak/>
        <w:t>S tim u vezi EGSO ističe nedostatke u pogledu socijalnih odredbi i zakonodavstva u području željezničkog sektora te u pogledu njihove primjene i provedbe, o čemu su izvijestili socijalni partneri u željezničkom sektoru. To se, primjerice, tiče provedbe socijalnih odredbi Uredbe o obvezi pružanja javnih usluga te provedbe, praćenja i izvršenja Direktive 2005/47/EZ o uvjetima rada mobilnog osoblja u prekograničnom prometu.</w:t>
      </w:r>
    </w:p>
    <w:p w14:paraId="1F02BEE6" w14:textId="77777777" w:rsidR="004A5EAA" w:rsidRPr="00AA7E47" w:rsidRDefault="004A5EAA" w:rsidP="003B7292">
      <w:pPr>
        <w:rPr>
          <w:lang w:val="en-GB"/>
        </w:rPr>
      </w:pPr>
    </w:p>
    <w:p w14:paraId="476233A7" w14:textId="77777777" w:rsidR="00CA297C" w:rsidRPr="00AA7E47" w:rsidRDefault="00CA297C" w:rsidP="00CA297C">
      <w:pPr>
        <w:pStyle w:val="Heading2"/>
      </w:pPr>
      <w:r>
        <w:t>EGSO u potpunosti podržava općepriznato poimanje važnosti kvalificiranog željezničkog osoblja kojem su omogućeni dobri radni uvjeti i prima na znanje sporazum iz 2004. o vremenu vožnje i odmora mobilnih radnika u interoperabilnom prekograničnom prometu, koji su socijalni partneri sklopili u siječnju 2004. u okviru socijalnog dijaloga, a koji je proveden Direktivom 2005/47/EZ.</w:t>
      </w:r>
    </w:p>
    <w:p w14:paraId="1D646D0E" w14:textId="77777777" w:rsidR="00CA297C" w:rsidRPr="00AA7E47" w:rsidRDefault="00CA297C" w:rsidP="003B7292">
      <w:pPr>
        <w:rPr>
          <w:lang w:val="en-GB"/>
        </w:rPr>
      </w:pPr>
    </w:p>
    <w:p w14:paraId="30B86E54" w14:textId="77777777" w:rsidR="00CA297C" w:rsidRPr="00AA7E47" w:rsidRDefault="00CA297C" w:rsidP="00CA297C">
      <w:pPr>
        <w:pStyle w:val="Heading2"/>
      </w:pPr>
      <w:r>
        <w:t>EGSO prima na znanje da su se socijalni partneri dogovorili da će u okviru socijalnog dijaloga nastaviti raditi na poboljšanju praćenja provedbe sporazuma. Zajedničkom izjavom obvezali su se promicati prekogranične aktivnosti, izbjegavati tržišno natjecanje zasnovano isključivo na razlikama u radnim uvjetima i održavati ravnopravne uvjete među poduzećima koja obavljaju prekogranične djelatnosti.</w:t>
      </w:r>
      <w:r w:rsidR="005B11AD" w:rsidRPr="00AA7E47">
        <w:rPr>
          <w:rStyle w:val="FootnoteReference"/>
          <w:lang w:val="en-GB"/>
        </w:rPr>
        <w:footnoteReference w:id="7"/>
      </w:r>
      <w:r>
        <w:t xml:space="preserve"> </w:t>
      </w:r>
    </w:p>
    <w:p w14:paraId="36360025" w14:textId="77777777" w:rsidR="007F4302" w:rsidRPr="00AA7E47" w:rsidRDefault="007F4302" w:rsidP="00D71ECE">
      <w:pPr>
        <w:rPr>
          <w:lang w:val="en-GB"/>
        </w:rPr>
      </w:pPr>
    </w:p>
    <w:p w14:paraId="50B05F23" w14:textId="77777777" w:rsidR="00CA297C" w:rsidRPr="00AA7E47" w:rsidRDefault="004A5EAA" w:rsidP="00D71ECE">
      <w:pPr>
        <w:pStyle w:val="Heading2"/>
        <w:numPr>
          <w:ilvl w:val="0"/>
          <w:numId w:val="0"/>
        </w:numPr>
        <w:ind w:left="567"/>
      </w:pPr>
      <w:r>
        <w:t>Kad je riječ o Direktivi 2005/47/EZ, socijalni partneri istaknuli su da je „jedan od zaključaka projekta da su pravilno praćenje i provedba Sporazuma na razini država članica otežani zbog nedostatka jasnoće u pogledu nadležnih nacionalnih tijela. Čak i ako je tijelo jasno definirano – obično se radi o nacionalnom inspektoratu rada – nedostaju mu, po svemu sudeći, potrebni resursi, kapaciteti i/ili svijest o Sporazumu i Direktivi o njegovoj provedbi kako bi moglo djelotvorno obavljati svoje zadaće”. EGSO polazi od pretpostavke da EU mora djelovati.</w:t>
      </w:r>
    </w:p>
    <w:p w14:paraId="193E976F" w14:textId="77777777" w:rsidR="004A5EAA" w:rsidRPr="00AA7E47" w:rsidRDefault="004A5EAA" w:rsidP="003B7292">
      <w:pPr>
        <w:rPr>
          <w:lang w:val="en-GB"/>
        </w:rPr>
      </w:pPr>
    </w:p>
    <w:p w14:paraId="11444F60" w14:textId="77777777" w:rsidR="00926621" w:rsidRPr="00AA7E47" w:rsidRDefault="00CA297C" w:rsidP="00014491">
      <w:pPr>
        <w:pStyle w:val="Heading2"/>
      </w:pPr>
      <w:r>
        <w:t>EGSO prima na znanje izjavu socijalnih partnera u vezi s Uredbom o obvezi pružanja javnih usluga (EZ) br. 1370/2007 da „posljedice tržišnog natjecanja ne bi smjele utjecati na radne uvjete osoblja koje pruža usluge posredstvom zahtjeva u pogledu nacionalnih, regionalnih i lokalnih obvezujućih socijalnih standarda i/ili obveznog premještaja osoblja u slučaju promjene prijevoznika“</w:t>
      </w:r>
      <w:r w:rsidR="003162DA" w:rsidRPr="00AA7E47">
        <w:rPr>
          <w:rStyle w:val="FootnoteReference"/>
          <w:lang w:val="en-GB"/>
        </w:rPr>
        <w:footnoteReference w:id="8"/>
      </w:r>
      <w:r>
        <w:t>. To se u praksi ne provodi u dovoljnoj mjeri i EU mora djelovati. EGSO traži od Komisije da pomno prati provedbu tih odredbi i poduzima potrebne mjere.</w:t>
      </w:r>
    </w:p>
    <w:p w14:paraId="6691FA38" w14:textId="77777777" w:rsidR="00CA297C" w:rsidRPr="00AA7E47" w:rsidRDefault="00CA297C" w:rsidP="003B7292">
      <w:pPr>
        <w:rPr>
          <w:lang w:val="en-GB"/>
        </w:rPr>
      </w:pPr>
    </w:p>
    <w:p w14:paraId="09392A56" w14:textId="77777777" w:rsidR="00CA297C" w:rsidRPr="00AA7E47" w:rsidRDefault="00CA297C" w:rsidP="003B7292">
      <w:pPr>
        <w:pStyle w:val="Heading2"/>
      </w:pPr>
      <w:r>
        <w:t>Po svemu sudeći postoji opća suglasnost među prijevoznicima da je sektoru sada potrebno vrijeme da prouči četvrti željeznički paket i prilagodi mu se.</w:t>
      </w:r>
    </w:p>
    <w:p w14:paraId="7119DF9C" w14:textId="77777777" w:rsidR="00CA297C" w:rsidRPr="00AA7E47" w:rsidRDefault="00CA297C" w:rsidP="003B7292">
      <w:pPr>
        <w:rPr>
          <w:lang w:val="en-GB"/>
        </w:rPr>
      </w:pPr>
    </w:p>
    <w:p w14:paraId="08A4509F" w14:textId="77777777" w:rsidR="00926621" w:rsidRPr="00AA7E47" w:rsidRDefault="00926621" w:rsidP="00D71ECE">
      <w:pPr>
        <w:pStyle w:val="Heading1"/>
        <w:keepNext/>
      </w:pPr>
      <w:r>
        <w:rPr>
          <w:b/>
        </w:rPr>
        <w:t>Kriza izazvana pandemijom bolesti COVID 19 – otpornost na kušnji</w:t>
      </w:r>
    </w:p>
    <w:p w14:paraId="22B59B70" w14:textId="77777777" w:rsidR="00926621" w:rsidRPr="00AA7E47" w:rsidRDefault="00926621">
      <w:pPr>
        <w:pStyle w:val="Heading3"/>
        <w:keepNext/>
        <w:numPr>
          <w:ilvl w:val="0"/>
          <w:numId w:val="0"/>
        </w:numPr>
        <w:rPr>
          <w:bCs/>
          <w:lang w:val="en-GB"/>
        </w:rPr>
      </w:pPr>
    </w:p>
    <w:p w14:paraId="2C18C997" w14:textId="77777777" w:rsidR="00926621" w:rsidRPr="00AA7E47" w:rsidRDefault="00154E02" w:rsidP="003B7292">
      <w:pPr>
        <w:pStyle w:val="Heading2"/>
      </w:pPr>
      <w:r>
        <w:t>Kriza uzrokovana COVID-om 19 predstavlja kušnju i izazov za željeznički promet i za sve druge prometne sektore, kao i za sve radnike u prometnom sektoru. Pouzdanost, sigurnost i središnja uloga željeznica u prijevozu ljudi i robe pozitivan je rezultat pandemije COVID-a 19, među ostalim i zbog napora željezničkog osoblja u vrlo teškim okolnostima. Državne potpore pomogle su mnogim željezničkim poduzećima tijekom teškog razdoblja smanjenog prometa.</w:t>
      </w:r>
    </w:p>
    <w:p w14:paraId="4DFA7EA5" w14:textId="77777777" w:rsidR="00BE02C2" w:rsidRPr="00AA7E47" w:rsidRDefault="00BE02C2" w:rsidP="00EC61A7">
      <w:pPr>
        <w:pStyle w:val="Heading2"/>
      </w:pPr>
      <w:r>
        <w:lastRenderedPageBreak/>
        <w:t>Prema podacima koje je prikupila Zajednica europskih željezničkih i infrastrukturnih poduzeća, učinak bolesti COVID-19 štetan je za sve vrste željezničkog putničkog prometa, osobito na međunarodnim rutama. Gubici prihoda u 2020. su dosegli iznos od 26 milijardi eura, a nastavljaju se i u prvim mjesecima 2021. Osim toga, očekuje se da će se oporavak odvijati sporim tempom.</w:t>
      </w:r>
    </w:p>
    <w:p w14:paraId="1DD96326" w14:textId="77777777" w:rsidR="00BE02C2" w:rsidRPr="00AA7E47" w:rsidRDefault="00BE02C2" w:rsidP="003B7292">
      <w:pPr>
        <w:rPr>
          <w:lang w:val="en-GB"/>
        </w:rPr>
      </w:pPr>
    </w:p>
    <w:p w14:paraId="37BD6F2A" w14:textId="77777777" w:rsidR="00926621" w:rsidRPr="00AA7E47" w:rsidRDefault="00926621" w:rsidP="007F17C3">
      <w:pPr>
        <w:pStyle w:val="Heading2"/>
      </w:pPr>
      <w:r>
        <w:t>Međutim, kriza izazvana bolešću COVID-19 isto je tako pobudila razumijevanje potrebe da se razviju mjere otpornosti i unaprijedi usklađenost i koordinacija u okviru mreže kako bi se razvoju prekogranične infrastrukture dao veći prioritet</w:t>
      </w:r>
      <w:r w:rsidRPr="00AA7E47">
        <w:rPr>
          <w:rStyle w:val="FootnoteReference"/>
          <w:lang w:val="en-GB"/>
        </w:rPr>
        <w:footnoteReference w:id="9"/>
      </w:r>
      <w:r>
        <w:t>. Međutim, pandemija je pokazala i da gradovi imaju najvažniju ulogu u rješavanju prometnih problema. Stoga ih se ne bi smjelo prepustiti same sebi, nego EU gradovima mora posvetiti najveću moguću pozornost.</w:t>
      </w:r>
    </w:p>
    <w:p w14:paraId="35AB65DA" w14:textId="77777777" w:rsidR="00926621" w:rsidRPr="00AA7E47" w:rsidRDefault="00926621" w:rsidP="00926621">
      <w:pPr>
        <w:rPr>
          <w:lang w:val="en-GB"/>
        </w:rPr>
      </w:pPr>
    </w:p>
    <w:p w14:paraId="0B6F3C2F" w14:textId="77777777" w:rsidR="00926621" w:rsidRPr="00AA7E47" w:rsidRDefault="00612CAC" w:rsidP="00477C79">
      <w:pPr>
        <w:pStyle w:val="Heading2"/>
      </w:pPr>
      <w:r>
        <w:t>Tijekom pandemije prijevoznici u državnom vlasništvu morali su nastaviti pružati usluge prijevoza putnika i tereta te ujedno zajamčiti sigurno poslovanje. Državne potpore i državne intervencije često sprečavaju kolaps željezničkog sustava, što je nužno za osiguravanje osnovnih usluga.</w:t>
      </w:r>
    </w:p>
    <w:p w14:paraId="45647E56" w14:textId="77777777" w:rsidR="00475585" w:rsidRPr="00AA7E47" w:rsidRDefault="00475585" w:rsidP="007F17C3">
      <w:pPr>
        <w:rPr>
          <w:lang w:val="en-GB"/>
        </w:rPr>
      </w:pPr>
    </w:p>
    <w:p w14:paraId="3B4F89FA" w14:textId="77777777" w:rsidR="00926621" w:rsidRPr="00AA7E47" w:rsidRDefault="00926621" w:rsidP="007F17C3">
      <w:pPr>
        <w:pStyle w:val="Heading1"/>
        <w:keepNext/>
      </w:pPr>
      <w:r>
        <w:rPr>
          <w:b/>
        </w:rPr>
        <w:t>Pitanja povezana s razdvajanjem koje je postavilo predsjedništvo</w:t>
      </w:r>
    </w:p>
    <w:p w14:paraId="756D0266" w14:textId="77777777" w:rsidR="00926621" w:rsidRPr="00AA7E47" w:rsidRDefault="00926621" w:rsidP="007F17C3">
      <w:pPr>
        <w:keepNext/>
        <w:rPr>
          <w:lang w:val="en-GB"/>
        </w:rPr>
      </w:pPr>
    </w:p>
    <w:p w14:paraId="7202074D" w14:textId="77777777" w:rsidR="00926621" w:rsidRPr="00AA7E47" w:rsidRDefault="00926621" w:rsidP="00154E02">
      <w:pPr>
        <w:pStyle w:val="Heading2"/>
      </w:pPr>
      <w:r>
        <w:t>Čini se da se na dva pitanja povezana s razdvajanjem koja je postavilo predsjedništvo može dobro odgovoriti odredbama iz Poglavlja II., odjeljaka I. i II. izmijenjene Direktive 2012/34/EU, kojima je cilj osigurati upravljačku neovisnost željezničkih prijevoznika i upravitelja infrastrukture (odjeljak I.) i razdvajanje upravljanja infrastrukturom i prijevoznih operacija i različitih vrsta prijevoznih operacija (odjeljak II.).</w:t>
      </w:r>
    </w:p>
    <w:p w14:paraId="52DF05BD" w14:textId="77777777" w:rsidR="00926621" w:rsidRPr="00AA7E47" w:rsidRDefault="00926621" w:rsidP="00926621">
      <w:pPr>
        <w:ind w:left="567" w:hanging="567"/>
        <w:rPr>
          <w:lang w:val="en-GB"/>
        </w:rPr>
      </w:pPr>
    </w:p>
    <w:p w14:paraId="50EC0BBC" w14:textId="77777777" w:rsidR="00926621" w:rsidRPr="00AA7E47" w:rsidRDefault="00926621" w:rsidP="007F17C3">
      <w:pPr>
        <w:pStyle w:val="Heading2"/>
      </w:pPr>
      <w:r>
        <w:t>Predmetne odredbe pružaju mnogo različitih mogućnosti u odnosu na organizacijski oblik, dokle god je osigurana neovisnost subjekta koji osigurava upravljanje infrastrukturom u pogledu dodjele željezničkih ruta i određivanja pristojbi. Čini se da je to slučaj i kad je riječ o obvezi vođenja odvojenih računa za upravljanje infrastrukturom i operativne aktivnosti te za djelatnosti putničkog i teretnog prijevoza, odnosno transparentnosti u pogledu javnih sredstava koja se uplaćuju za javne usluge.</w:t>
      </w:r>
    </w:p>
    <w:p w14:paraId="0A8B109A" w14:textId="77777777" w:rsidR="00926621" w:rsidRPr="00AA7E47" w:rsidRDefault="00926621" w:rsidP="00926621">
      <w:pPr>
        <w:ind w:left="567" w:hanging="567"/>
        <w:rPr>
          <w:lang w:val="en-GB"/>
        </w:rPr>
      </w:pPr>
    </w:p>
    <w:p w14:paraId="1408AD9A" w14:textId="77777777" w:rsidR="00926621" w:rsidRPr="00AA7E47" w:rsidRDefault="00926621" w:rsidP="007F17C3">
      <w:pPr>
        <w:pStyle w:val="Heading2"/>
      </w:pPr>
      <w:r>
        <w:t>Jamstvo neutralnosti u pogledu dodjele željezničkih ruta i određivanja pristojbi te transparentnost koju predviđaju odredbe o računima korisne su jer se njima osiguravaju jednaki uvjeti i transparentnost.</w:t>
      </w:r>
    </w:p>
    <w:p w14:paraId="2BF8B5A1" w14:textId="77777777" w:rsidR="00926621" w:rsidRPr="00AA7E47" w:rsidRDefault="00926621" w:rsidP="00926621">
      <w:pPr>
        <w:ind w:left="567" w:hanging="567"/>
        <w:rPr>
          <w:lang w:val="en-GB"/>
        </w:rPr>
      </w:pPr>
    </w:p>
    <w:p w14:paraId="7F5C9C4E" w14:textId="77777777" w:rsidR="004E25B5" w:rsidRDefault="00612CAC" w:rsidP="00D71ECE">
      <w:pPr>
        <w:pStyle w:val="Heading2"/>
      </w:pPr>
      <w:r>
        <w:t xml:space="preserve">Valja napomenuti da zemlje s razgranatom željezničkom mrežom kao što su Njemačka, Poljska, Italija i Austrija ustraju na integriranim željezničkim prijevoznicima, a u pogledu ključnih funkcija kao što su dodjela slotova ili određivanje i naplata pristojbi osigurana je neovisnost upravitelja infrastrukture. Francuska je, primjerice, ponovno integrirala upravljanje infrastrukturom i njezino korištenje. Te zemlje smatraju da je za željeznički sustav korisno iskorištavanje sinergija i osiguravanje tješnje suradnje, veće fleksibilnosti itd. </w:t>
      </w:r>
    </w:p>
    <w:p w14:paraId="1EE54CBB" w14:textId="77777777" w:rsidR="00612CAC" w:rsidRPr="00AA7E47" w:rsidRDefault="00612CAC" w:rsidP="004E25B5">
      <w:pPr>
        <w:pStyle w:val="Heading2"/>
        <w:numPr>
          <w:ilvl w:val="0"/>
          <w:numId w:val="0"/>
        </w:numPr>
        <w:ind w:left="567"/>
      </w:pPr>
      <w:r>
        <w:lastRenderedPageBreak/>
        <w:t>Trebalo bi voditi računa i o prednostima velikog unutarnjeg tržišta rada za željezničko osoblje, a posebno za one profesije relevantne za sigurnost za koje postoje i medicinski i psihološki zahtjevi.</w:t>
      </w:r>
    </w:p>
    <w:p w14:paraId="5DBD6717" w14:textId="77777777" w:rsidR="00612CAC" w:rsidRPr="00AA7E47" w:rsidRDefault="00612CAC" w:rsidP="00926621">
      <w:pPr>
        <w:ind w:left="567" w:hanging="567"/>
        <w:rPr>
          <w:lang w:val="en-GB"/>
        </w:rPr>
      </w:pPr>
    </w:p>
    <w:p w14:paraId="4628D04C" w14:textId="77777777" w:rsidR="00477C79" w:rsidRPr="00AA7E47" w:rsidRDefault="00926621" w:rsidP="00477C79">
      <w:pPr>
        <w:pStyle w:val="Heading2"/>
      </w:pPr>
      <w:r>
        <w:t xml:space="preserve">Međutim, korisna je i sloboda odabira organizacijskog oblika te se državama članicama stoga ne bi smjelo nametati razdvajanje. </w:t>
      </w:r>
    </w:p>
    <w:p w14:paraId="26CBBF83" w14:textId="77777777" w:rsidR="00926621" w:rsidRPr="00AA7E47" w:rsidRDefault="00926621" w:rsidP="00926621">
      <w:pPr>
        <w:ind w:left="567" w:hanging="567"/>
        <w:rPr>
          <w:lang w:val="en-GB"/>
        </w:rPr>
      </w:pPr>
    </w:p>
    <w:p w14:paraId="717EDE80" w14:textId="77777777" w:rsidR="00926621" w:rsidRPr="00AA7E47" w:rsidRDefault="00154E02" w:rsidP="00D71ECE">
      <w:pPr>
        <w:pStyle w:val="Heading1"/>
        <w:keepNext/>
      </w:pPr>
      <w:r>
        <w:rPr>
          <w:b/>
        </w:rPr>
        <w:t>Zaključak</w:t>
      </w:r>
    </w:p>
    <w:p w14:paraId="2B2AD381" w14:textId="77777777" w:rsidR="00926621" w:rsidRPr="00AA7E47" w:rsidRDefault="00926621">
      <w:pPr>
        <w:keepNext/>
        <w:ind w:left="567" w:hanging="567"/>
        <w:rPr>
          <w:bCs/>
          <w:lang w:val="en-GB"/>
        </w:rPr>
      </w:pPr>
    </w:p>
    <w:p w14:paraId="2500D135" w14:textId="77777777" w:rsidR="00926621" w:rsidRPr="00AA7E47" w:rsidRDefault="00926621" w:rsidP="000B7AA7">
      <w:pPr>
        <w:pStyle w:val="Heading2"/>
      </w:pPr>
      <w:r>
        <w:t>Iz prethodno navedenog proizlazi da europski željeznički prostor nipošto nije savršen. Potrebna je dublja analiza čimbenika uspjeha, kao i utjecaja na uvjete rada. Dostupnim analizama ocijenjeni su problemi u provedbi postojećeg zakonodavstva, uključujući pristup tržištu, interoperabilnost i tehničko usklađivanje, uključujući nepotpuno usklađivanje operativnih i tehničkih pravila. Međutim, utvrđeni su i problemi u pogledu troškova, kašnjenja i nedostatka željezničkih vozila koja se mogu kretati unutar cijelog EU-a te opći problemi u pogledu prilagođavanja okolnostima otvorenog tržišta. Po svemu sudeći, nije provedena analiza mogućih učinaka otvaranja tržišta na radne uvjete. Mnogo bi se toga moglo i trebalo unaprijediti da bi sustav funkcionirao bolje, bio konkurentniji i povećao svoj tržišni udio u cijelom EU-u te time postao punopravni akter učinkovitog, okolišno i društveno održivog sustava multimodalnog prijevoza i mobilnosti u korist putnika i okoliša.</w:t>
      </w:r>
    </w:p>
    <w:p w14:paraId="2B66B3D3" w14:textId="77777777" w:rsidR="00926621" w:rsidRPr="00AA7E47" w:rsidRDefault="00926621" w:rsidP="00477C79">
      <w:pPr>
        <w:rPr>
          <w:b/>
          <w:bCs/>
          <w:lang w:val="en-GB"/>
        </w:rPr>
      </w:pPr>
    </w:p>
    <w:p w14:paraId="1E0D69C4" w14:textId="77777777" w:rsidR="00154E02" w:rsidRPr="00AA7E47" w:rsidRDefault="00154E02" w:rsidP="009B1C7B">
      <w:pPr>
        <w:pStyle w:val="Heading2"/>
      </w:pPr>
      <w:r>
        <w:t>EGSO smatra da je vrijeme za opći pregled stanja željezničkog sustava EU-a te stoga zahtijeva opsežnu i sveobuhvatnu analizu čimbenika uspjeha i problema, uz procjenu postojećeg okvira, uključujući njegov utjecaj na radne uvjete. EGSO traži nepristranu ocjenu imajući na umu obvezu iz članaka 90. i 91. UFEU-a da se uspostavi unutarnje tržište s usklađenim pravilima za međunarodni prijevoz i utvrde uvjeti za kabotažu uzimajući u obzir odredbe o uslugama od općeg gospodarskog interesa iz članka 14. UFEU-a, Protokola 26. UFEU-a i članka 36. Povelje EU-a o temeljnim pravima. U analizi bi se trebali uzeti u obzir okolišni aspekti i ciljevi utvrđeni u europskom zelenom planu, uloga željezničkog prijevoza kao usluge od općeg interesa i njegova uloga za socijalnu i gospodarsku koheziju, konkurentnost željeznice i njezino funkcioniranje u multimodalnom prekograničnom prometnom sustavu, zasnovano na suradnji, učinkovitosti resursa, razini usluga i zadovoljstvu korisnika/potrošača, pri čemu bi se posebna pozornost trebala posvetiti utjecaju na radne uvjete zaposlenika. Europska godina željeznice 2021. izvrsna je prilika za sagledavanje postignutog napretka i postavljanje ciljeva za budućnost.</w:t>
      </w:r>
    </w:p>
    <w:p w14:paraId="039F3BF4" w14:textId="77777777" w:rsidR="00477C79" w:rsidRPr="00AA7E47" w:rsidRDefault="00477C79" w:rsidP="00A52F11">
      <w:pPr>
        <w:outlineLvl w:val="1"/>
        <w:rPr>
          <w:b/>
          <w:lang w:val="en-GB"/>
        </w:rPr>
      </w:pPr>
    </w:p>
    <w:p w14:paraId="0ECBB884" w14:textId="77777777" w:rsidR="00A52F11" w:rsidRPr="00AA7E47" w:rsidRDefault="00A52F11" w:rsidP="00A52F11">
      <w:pPr>
        <w:outlineLvl w:val="1"/>
      </w:pPr>
      <w:r>
        <w:t>Bruxelles, 24. ožujka 2021.</w:t>
      </w:r>
    </w:p>
    <w:p w14:paraId="38724E42" w14:textId="77777777" w:rsidR="00F82680" w:rsidRPr="00AA7E47" w:rsidRDefault="00F82680" w:rsidP="00A52F11">
      <w:pPr>
        <w:outlineLvl w:val="1"/>
        <w:rPr>
          <w:lang w:val="en-GB"/>
        </w:rPr>
      </w:pPr>
    </w:p>
    <w:p w14:paraId="14311D8F" w14:textId="77777777" w:rsidR="00F82680" w:rsidRPr="00AA7E47" w:rsidRDefault="00F82680" w:rsidP="00A52F11">
      <w:pPr>
        <w:outlineLvl w:val="1"/>
        <w:rPr>
          <w:lang w:val="en-GB"/>
        </w:rPr>
      </w:pPr>
    </w:p>
    <w:p w14:paraId="3B47B9C9" w14:textId="77777777" w:rsidR="00B1555D" w:rsidRPr="00AA7E47" w:rsidRDefault="00B1555D" w:rsidP="00A52F11">
      <w:pPr>
        <w:outlineLvl w:val="1"/>
        <w:rPr>
          <w:lang w:val="en-GB"/>
        </w:rPr>
      </w:pPr>
    </w:p>
    <w:p w14:paraId="49AF2EC2" w14:textId="77777777" w:rsidR="00A52F11" w:rsidRPr="00AA7E47" w:rsidRDefault="00D8129A" w:rsidP="00A52F11">
      <w:pPr>
        <w:outlineLvl w:val="1"/>
      </w:pPr>
      <w:r>
        <w:t>Christa SCHWENG</w:t>
      </w:r>
    </w:p>
    <w:p w14:paraId="60A1A10A" w14:textId="77777777" w:rsidR="00B3462E" w:rsidRPr="00AA7E47" w:rsidRDefault="00A52F11" w:rsidP="00EC61A7">
      <w:r>
        <w:t>Predsjednica Europskog gospodarskog i socijalnog odbora</w:t>
      </w:r>
    </w:p>
    <w:p w14:paraId="33ABF14C" w14:textId="77777777" w:rsidR="00B3462E" w:rsidRPr="004E25B5" w:rsidRDefault="00B3462E" w:rsidP="00EC61A7">
      <w:pPr>
        <w:rPr>
          <w:sz w:val="18"/>
          <w:lang w:val="en-GB"/>
        </w:rPr>
      </w:pPr>
    </w:p>
    <w:p w14:paraId="6654C354" w14:textId="77777777" w:rsidR="00B3462E" w:rsidRPr="00AA7E47" w:rsidRDefault="00B3462E">
      <w:pPr>
        <w:jc w:val="center"/>
      </w:pPr>
      <w:r>
        <w:t>*</w:t>
      </w:r>
    </w:p>
    <w:p w14:paraId="5CD65BBC" w14:textId="77777777" w:rsidR="00B3462E" w:rsidRPr="00AA7E47" w:rsidRDefault="00B3462E" w:rsidP="00B3462E">
      <w:pPr>
        <w:jc w:val="center"/>
        <w:rPr>
          <w:lang w:val="en-GB"/>
        </w:rPr>
      </w:pPr>
    </w:p>
    <w:p w14:paraId="268A1C8E" w14:textId="77777777" w:rsidR="00B3462E" w:rsidRPr="00AA7E47" w:rsidRDefault="00B3462E" w:rsidP="00B3462E">
      <w:pPr>
        <w:jc w:val="center"/>
      </w:pPr>
      <w:r>
        <w:t>*</w:t>
      </w:r>
      <w:r>
        <w:tab/>
        <w:t>*</w:t>
      </w:r>
    </w:p>
    <w:p w14:paraId="1B764496" w14:textId="77777777" w:rsidR="00B3462E" w:rsidRPr="004E25B5" w:rsidRDefault="00B3462E" w:rsidP="00B3462E">
      <w:pPr>
        <w:rPr>
          <w:sz w:val="18"/>
          <w:lang w:val="en-GB"/>
        </w:rPr>
      </w:pPr>
    </w:p>
    <w:p w14:paraId="2331EF88" w14:textId="77777777" w:rsidR="00B3462E" w:rsidRPr="00AA7E47" w:rsidRDefault="00B3462E" w:rsidP="00B3462E">
      <w:r>
        <w:rPr>
          <w:b/>
        </w:rPr>
        <w:t>Napomena:</w:t>
      </w:r>
      <w:r>
        <w:t xml:space="preserve"> Dodatak u nastavku.</w:t>
      </w:r>
    </w:p>
    <w:p w14:paraId="4DBF015B" w14:textId="77777777" w:rsidR="00B3462E" w:rsidRPr="004E25B5" w:rsidRDefault="00B3462E">
      <w:pPr>
        <w:spacing w:line="240" w:lineRule="auto"/>
        <w:jc w:val="left"/>
        <w:rPr>
          <w:sz w:val="8"/>
        </w:rPr>
      </w:pPr>
      <w:r>
        <w:br w:type="page"/>
      </w:r>
    </w:p>
    <w:p w14:paraId="33A3EECE" w14:textId="77777777" w:rsidR="009F0047" w:rsidRPr="00AA7E47" w:rsidRDefault="009F0047" w:rsidP="009F0047">
      <w:pPr>
        <w:jc w:val="center"/>
        <w:rPr>
          <w:b/>
          <w:bCs/>
        </w:rPr>
      </w:pPr>
      <w:r>
        <w:rPr>
          <w:b/>
          <w:bCs/>
        </w:rPr>
        <w:lastRenderedPageBreak/>
        <w:t>DODATAK</w:t>
      </w:r>
    </w:p>
    <w:p w14:paraId="330D1A25" w14:textId="77777777" w:rsidR="009F0047" w:rsidRPr="00AA7E47" w:rsidRDefault="009F0047" w:rsidP="009F0047">
      <w:pPr>
        <w:jc w:val="center"/>
      </w:pPr>
      <w:r>
        <w:rPr>
          <w:b/>
          <w:bCs/>
        </w:rPr>
        <w:t>MIŠLJENJU</w:t>
      </w:r>
    </w:p>
    <w:p w14:paraId="18B0D7F5" w14:textId="77777777" w:rsidR="009F0047" w:rsidRPr="00AA7E47" w:rsidRDefault="009F0047" w:rsidP="009F0047">
      <w:pPr>
        <w:jc w:val="center"/>
      </w:pPr>
      <w:r>
        <w:t>Europskog gospodarskog i socijalnog odbora</w:t>
      </w:r>
    </w:p>
    <w:p w14:paraId="535995AA" w14:textId="77777777" w:rsidR="009F0047" w:rsidRPr="00AA7E47" w:rsidRDefault="009F0047" w:rsidP="009F0047">
      <w:pPr>
        <w:jc w:val="center"/>
        <w:rPr>
          <w:lang w:val="en-GB"/>
        </w:rPr>
      </w:pPr>
    </w:p>
    <w:p w14:paraId="2ECF756C" w14:textId="77777777" w:rsidR="009F0047" w:rsidRPr="00AA7E47" w:rsidRDefault="009F0047" w:rsidP="009F0047">
      <w:r>
        <w:t>Sljedeći su amandmani odbijeni na plenarnom zasjedanju premda su dobili barem četvrtinu glasova.</w:t>
      </w:r>
    </w:p>
    <w:p w14:paraId="67D881D4" w14:textId="77777777" w:rsidR="00B3462E" w:rsidRPr="00AA7E47" w:rsidRDefault="00B3462E" w:rsidP="00B3462E">
      <w:pPr>
        <w:rPr>
          <w:lang w:val="en-GB"/>
        </w:rPr>
      </w:pPr>
    </w:p>
    <w:p w14:paraId="77F99ACC" w14:textId="77777777" w:rsidR="0002500B" w:rsidRPr="00875C0A" w:rsidRDefault="0002500B" w:rsidP="0002500B">
      <w:pPr>
        <w:rPr>
          <w:b/>
        </w:rPr>
      </w:pPr>
      <w:r>
        <w:rPr>
          <w:b/>
        </w:rPr>
        <w:t>Točka 1.17.</w:t>
      </w:r>
    </w:p>
    <w:p w14:paraId="3DB47CD2" w14:textId="77777777" w:rsidR="0002500B" w:rsidRPr="00875C0A" w:rsidRDefault="0002500B" w:rsidP="002C7ABF">
      <w:pPr>
        <w:spacing w:line="240" w:lineRule="auto"/>
        <w:rPr>
          <w:lang w:val="en-GB"/>
        </w:rPr>
      </w:pPr>
    </w:p>
    <w:p w14:paraId="50254FBE" w14:textId="77777777" w:rsidR="0002500B" w:rsidRPr="00875C0A" w:rsidRDefault="0002500B" w:rsidP="0002500B">
      <w:r>
        <w:t>Izmijeniti kako slijedi:</w:t>
      </w:r>
    </w:p>
    <w:p w14:paraId="4271027E" w14:textId="77777777" w:rsidR="0002500B" w:rsidRPr="00875C0A" w:rsidRDefault="0002500B" w:rsidP="002C7ABF">
      <w:pPr>
        <w:spacing w:line="240" w:lineRule="auto"/>
        <w:rPr>
          <w:lang w:val="en-GB"/>
        </w:rPr>
      </w:pPr>
    </w:p>
    <w:p w14:paraId="047966C8" w14:textId="77777777" w:rsidR="0002500B" w:rsidRPr="00875C0A" w:rsidRDefault="0002500B" w:rsidP="0002500B">
      <w:pPr>
        <w:ind w:left="567"/>
        <w:rPr>
          <w:i/>
        </w:rPr>
      </w:pPr>
      <w:r>
        <w:rPr>
          <w:i/>
        </w:rPr>
        <w:t xml:space="preserve">Jasno je da bi trebalo uzeti u obzir i trenutačne potrebe za političkim mjerama i unapređenjem željezničkog sustava kako bi se ostvarili ciljevi u pogledu modalnog udjela i kako bi željeznica mogla u potpunosti odigrati svoju ulogu u </w:t>
      </w:r>
      <w:r>
        <w:rPr>
          <w:i/>
          <w:u w:val="single"/>
        </w:rPr>
        <w:t xml:space="preserve">konkurentnom </w:t>
      </w:r>
      <w:r>
        <w:rPr>
          <w:i/>
        </w:rPr>
        <w:t xml:space="preserve">održivom europskom multimodalnom prometnom sustavu. </w:t>
      </w:r>
      <w:r>
        <w:rPr>
          <w:i/>
          <w:strike/>
        </w:rPr>
        <w:t>Državne potpore i državne intervencije</w:t>
      </w:r>
      <w:r>
        <w:rPr>
          <w:i/>
        </w:rPr>
        <w:t xml:space="preserve"> </w:t>
      </w:r>
      <w:r>
        <w:rPr>
          <w:i/>
          <w:u w:val="single"/>
        </w:rPr>
        <w:t xml:space="preserve">Tom će sektoru biti potrebne državne potpore i tijekom oporavka od krize koju je izazvao COVID-19, a državne potpore za financiranje obveza pružanja javnih usluga </w:t>
      </w:r>
      <w:r>
        <w:rPr>
          <w:i/>
        </w:rPr>
        <w:t>i dalje će biti ključne za osiguravanje osnovnih usluga i nakon krize uzrokovane COVID-om 19.</w:t>
      </w:r>
    </w:p>
    <w:p w14:paraId="4068B350" w14:textId="77777777" w:rsidR="0002500B" w:rsidRPr="00AA7E47" w:rsidRDefault="0002500B" w:rsidP="002C7ABF">
      <w:pPr>
        <w:spacing w:line="240" w:lineRule="auto"/>
        <w:rPr>
          <w:lang w:val="en-GB"/>
        </w:rPr>
      </w:pPr>
    </w:p>
    <w:p w14:paraId="0BB3E7CC" w14:textId="77777777" w:rsidR="0002500B" w:rsidRPr="00AA7E47" w:rsidRDefault="0002500B" w:rsidP="0002500B">
      <w:pPr>
        <w:keepNext/>
        <w:rPr>
          <w:rFonts w:eastAsia="Calibri"/>
        </w:rPr>
      </w:pPr>
      <w:r>
        <w:t>Rezultat glasanja o amandmanu:</w:t>
      </w:r>
    </w:p>
    <w:p w14:paraId="0FD02786" w14:textId="77777777" w:rsidR="0002500B" w:rsidRPr="00AA7E47" w:rsidRDefault="0002500B" w:rsidP="002C7ABF">
      <w:pPr>
        <w:keepNext/>
        <w:spacing w:line="240" w:lineRule="auto"/>
        <w:rPr>
          <w:rFonts w:eastAsia="Calibri"/>
          <w:lang w:val="en-GB" w:eastAsia="en-GB" w:bidi="en-GB"/>
        </w:rPr>
      </w:pPr>
    </w:p>
    <w:p w14:paraId="3F88EBD0" w14:textId="77777777" w:rsidR="0002500B" w:rsidRPr="00AA7E47" w:rsidRDefault="0002500B" w:rsidP="0002500B">
      <w:pPr>
        <w:tabs>
          <w:tab w:val="right" w:pos="2268"/>
        </w:tabs>
        <w:rPr>
          <w:rFonts w:eastAsia="Calibri"/>
        </w:rPr>
      </w:pPr>
      <w:r>
        <w:t>Za:</w:t>
      </w:r>
      <w:r>
        <w:tab/>
        <w:t>94</w:t>
      </w:r>
    </w:p>
    <w:p w14:paraId="02CB63E2" w14:textId="77777777" w:rsidR="0002500B" w:rsidRPr="00AA7E47" w:rsidRDefault="0002500B" w:rsidP="0002500B">
      <w:pPr>
        <w:tabs>
          <w:tab w:val="right" w:pos="2268"/>
        </w:tabs>
        <w:rPr>
          <w:rFonts w:eastAsia="Calibri"/>
        </w:rPr>
      </w:pPr>
      <w:r>
        <w:t>Protiv:</w:t>
      </w:r>
      <w:r>
        <w:tab/>
        <w:t>119</w:t>
      </w:r>
    </w:p>
    <w:p w14:paraId="4FC375FF" w14:textId="77777777" w:rsidR="0002500B" w:rsidRPr="00AA7E47" w:rsidRDefault="0002500B" w:rsidP="00875C0A">
      <w:pPr>
        <w:tabs>
          <w:tab w:val="right" w:pos="2268"/>
        </w:tabs>
      </w:pPr>
      <w:r>
        <w:t>Suzdržani:</w:t>
      </w:r>
      <w:r>
        <w:tab/>
        <w:t>7</w:t>
      </w:r>
    </w:p>
    <w:p w14:paraId="18928784" w14:textId="77777777" w:rsidR="0002500B" w:rsidRPr="00AA7E47" w:rsidRDefault="0002500B" w:rsidP="00B3462E">
      <w:pPr>
        <w:rPr>
          <w:lang w:val="en-GB"/>
        </w:rPr>
      </w:pPr>
    </w:p>
    <w:p w14:paraId="48658F32" w14:textId="77777777" w:rsidR="00B3462E" w:rsidRPr="00AA7E47" w:rsidRDefault="00B3462E" w:rsidP="00B3462E">
      <w:pPr>
        <w:rPr>
          <w:b/>
        </w:rPr>
      </w:pPr>
      <w:r>
        <w:rPr>
          <w:b/>
        </w:rPr>
        <w:t>Točka 1.18.</w:t>
      </w:r>
    </w:p>
    <w:p w14:paraId="7B334C80" w14:textId="77777777" w:rsidR="00B3462E" w:rsidRPr="00AA7E47" w:rsidRDefault="00B3462E" w:rsidP="00B3462E">
      <w:pPr>
        <w:rPr>
          <w:lang w:val="en-GB"/>
        </w:rPr>
      </w:pPr>
    </w:p>
    <w:p w14:paraId="7A0AB472" w14:textId="77777777" w:rsidR="00B3462E" w:rsidRPr="00AA7E47" w:rsidRDefault="00B3462E" w:rsidP="00B3462E">
      <w:r>
        <w:t>Izmijeniti kako slijedi:</w:t>
      </w:r>
    </w:p>
    <w:p w14:paraId="07B973A0" w14:textId="77777777" w:rsidR="00B3462E" w:rsidRPr="00AA7E47" w:rsidRDefault="00B3462E" w:rsidP="002C7ABF">
      <w:pPr>
        <w:spacing w:line="240" w:lineRule="auto"/>
        <w:rPr>
          <w:lang w:val="en-GB"/>
        </w:rPr>
      </w:pPr>
    </w:p>
    <w:p w14:paraId="70957E7D" w14:textId="77777777" w:rsidR="00B3462E" w:rsidRPr="00AA7E47" w:rsidRDefault="00B3462E" w:rsidP="00B3462E">
      <w:pPr>
        <w:ind w:left="567"/>
      </w:pPr>
      <w:r>
        <w:rPr>
          <w:i/>
        </w:rPr>
        <w:t xml:space="preserve">Ugovori o javnim uslugama ključni su za osiguravanje dostupnih, cjenovno pristupačnih i uključivih usluga za sve putnike. </w:t>
      </w:r>
      <w:r>
        <w:rPr>
          <w:i/>
          <w:strike/>
        </w:rPr>
        <w:t>EGSO smatra da je izravno sklapanje ugovora o javnim uslugama jedna od najdjelotvornijih i najučinkovitijih mjera za promicanje željezničkog prijevoza putnika.</w:t>
      </w:r>
      <w:r>
        <w:t xml:space="preserve"> </w:t>
      </w:r>
      <w:r>
        <w:rPr>
          <w:i/>
          <w:u w:val="single"/>
        </w:rPr>
        <w:t>EGSO prima na znanje trenutačnu prevlast izravnog sklapanja ugovora i razvoj regulatornog okvira u smjeru konkurentnog nadmetanja. EGSO očekuje da će Komisija provesti analizu ishoda te promjene težišta u pogledu cjenovne pristupačnosti i razine usluga kako je predviđeno člankom 11. izmijenjene Uredbe (EZ) br. 1370/2007.</w:t>
      </w:r>
    </w:p>
    <w:p w14:paraId="3222788C" w14:textId="77777777" w:rsidR="00B3462E" w:rsidRPr="00AA7E47" w:rsidRDefault="00B3462E" w:rsidP="002C7ABF">
      <w:pPr>
        <w:spacing w:line="240" w:lineRule="auto"/>
        <w:rPr>
          <w:lang w:val="en-GB"/>
        </w:rPr>
      </w:pPr>
    </w:p>
    <w:p w14:paraId="6F776581" w14:textId="77777777" w:rsidR="00B3462E" w:rsidRPr="00AA7E47" w:rsidRDefault="00B3462E" w:rsidP="00B3462E">
      <w:pPr>
        <w:rPr>
          <w:rFonts w:eastAsia="Calibri"/>
        </w:rPr>
      </w:pPr>
      <w:r>
        <w:t>Rezultat glasanja o amandmanu:</w:t>
      </w:r>
    </w:p>
    <w:p w14:paraId="527DED1D" w14:textId="77777777" w:rsidR="00B3462E" w:rsidRPr="00AA7E47" w:rsidRDefault="00B3462E" w:rsidP="002C7ABF">
      <w:pPr>
        <w:spacing w:line="240" w:lineRule="auto"/>
        <w:rPr>
          <w:rFonts w:eastAsia="Calibri"/>
          <w:lang w:val="en-GB" w:eastAsia="en-GB" w:bidi="en-GB"/>
        </w:rPr>
      </w:pPr>
    </w:p>
    <w:p w14:paraId="43FE5710" w14:textId="77777777" w:rsidR="00B3462E" w:rsidRPr="00AA7E47" w:rsidRDefault="00B3462E" w:rsidP="00B75FE0">
      <w:pPr>
        <w:tabs>
          <w:tab w:val="right" w:pos="2268"/>
        </w:tabs>
        <w:rPr>
          <w:rFonts w:eastAsia="Calibri"/>
        </w:rPr>
      </w:pPr>
      <w:r>
        <w:t>Za:</w:t>
      </w:r>
      <w:r>
        <w:tab/>
        <w:t>97</w:t>
      </w:r>
    </w:p>
    <w:p w14:paraId="0F5EDF60" w14:textId="77777777" w:rsidR="00B3462E" w:rsidRPr="00AA7E47" w:rsidRDefault="00B3462E" w:rsidP="00B75FE0">
      <w:pPr>
        <w:tabs>
          <w:tab w:val="right" w:pos="2268"/>
        </w:tabs>
        <w:rPr>
          <w:rFonts w:eastAsia="Calibri"/>
        </w:rPr>
      </w:pPr>
      <w:r>
        <w:t>Protiv:</w:t>
      </w:r>
      <w:r>
        <w:tab/>
        <w:t>114</w:t>
      </w:r>
    </w:p>
    <w:p w14:paraId="45AC2231" w14:textId="77777777" w:rsidR="00B3462E" w:rsidRPr="00AA7E47" w:rsidRDefault="00B3462E" w:rsidP="00B75FE0">
      <w:pPr>
        <w:tabs>
          <w:tab w:val="right" w:pos="2268"/>
        </w:tabs>
      </w:pPr>
      <w:r>
        <w:t>Suzdržani:</w:t>
      </w:r>
      <w:r>
        <w:tab/>
        <w:t>12</w:t>
      </w:r>
    </w:p>
    <w:p w14:paraId="77A8941B" w14:textId="77777777" w:rsidR="00B3462E" w:rsidRPr="00AA7E47" w:rsidRDefault="00B3462E" w:rsidP="009F0047">
      <w:pPr>
        <w:rPr>
          <w:lang w:val="en-GB"/>
        </w:rPr>
      </w:pPr>
    </w:p>
    <w:p w14:paraId="1946B5A4" w14:textId="77777777" w:rsidR="003B5124" w:rsidRPr="00AA7E47" w:rsidRDefault="003B5124" w:rsidP="00EC61A7">
      <w:pPr>
        <w:keepNext/>
        <w:rPr>
          <w:b/>
        </w:rPr>
      </w:pPr>
      <w:r>
        <w:rPr>
          <w:b/>
        </w:rPr>
        <w:lastRenderedPageBreak/>
        <w:t>Točka 4.6.</w:t>
      </w:r>
    </w:p>
    <w:p w14:paraId="48B3025C" w14:textId="77777777" w:rsidR="003B5124" w:rsidRPr="00AA7E47" w:rsidRDefault="003B5124" w:rsidP="002C7ABF">
      <w:pPr>
        <w:keepNext/>
        <w:spacing w:line="240" w:lineRule="auto"/>
        <w:rPr>
          <w:lang w:val="en-GB"/>
        </w:rPr>
      </w:pPr>
    </w:p>
    <w:p w14:paraId="166E5C97" w14:textId="77777777" w:rsidR="003B5124" w:rsidRPr="00AA7E47" w:rsidRDefault="003B5124" w:rsidP="00EC61A7">
      <w:pPr>
        <w:keepNext/>
      </w:pPr>
      <w:r>
        <w:t>Izmijeniti kako slijedi:</w:t>
      </w:r>
    </w:p>
    <w:p w14:paraId="22E2C62D" w14:textId="77777777" w:rsidR="003B5124" w:rsidRPr="00AA7E47" w:rsidRDefault="003B5124" w:rsidP="002C7ABF">
      <w:pPr>
        <w:keepNext/>
        <w:spacing w:line="240" w:lineRule="auto"/>
        <w:rPr>
          <w:lang w:val="en-GB"/>
        </w:rPr>
      </w:pPr>
    </w:p>
    <w:p w14:paraId="70D98476" w14:textId="77777777" w:rsidR="003B5124" w:rsidRPr="00AA7E47" w:rsidRDefault="003B5124" w:rsidP="003B5124">
      <w:pPr>
        <w:ind w:left="567"/>
        <w:rPr>
          <w:i/>
        </w:rPr>
      </w:pPr>
      <w:r>
        <w:rPr>
          <w:bCs/>
          <w:i/>
          <w:u w:val="single"/>
        </w:rPr>
        <w:t xml:space="preserve">Postoji opća tendencija prema korištenju obveza pružanja javnih usluga, s isključivim pravima prometa, na deficitarnim linijama koje su najčešće regionalne, dok je pristup tržištu otvoren u pogledu linija za velike udaljenosti. EGSO naglašava važnu ulogu obveze pružanja javnih usluga u osiguravanju cjenovne pristupačnosti i sveukupne usklađenosti željezničkog sustava za prijevoz putnika kako bi se osigurala dostupnost. </w:t>
      </w:r>
      <w:r>
        <w:rPr>
          <w:i/>
          <w:strike/>
        </w:rPr>
        <w:t>Obveza pružanja javnih usluga ključna je za osiguravanje dostupnih, cjenovno pristupačnih i uključivih putničkih usluga za građane. Tržište je otvoreno za komercijalne putničke usluge, često za usluge na velikim udaljenostima. Međutim, promet na velikim udaljenostima i regionalni promet ne mogu se razdvojiti. Svaki vlak koji prometuje na velikim udaljenostima putnicima pruža regionalne usluge, posebno kada se zaustavlja u prigradskim područjima.</w:t>
      </w:r>
      <w:r>
        <w:rPr>
          <w:i/>
        </w:rPr>
        <w:t xml:space="preserve"> Regionalne linije osiguravaju potreban broj putnika i promet na glavnim prugama. Osim toga, njima se rasterećuje infrastruktura „glavnih linija” i osigurava distribucija u predmetnom području.</w:t>
      </w:r>
    </w:p>
    <w:p w14:paraId="63BB9415" w14:textId="77777777" w:rsidR="003B5124" w:rsidRPr="00AA7E47" w:rsidRDefault="003B5124" w:rsidP="002C7ABF">
      <w:pPr>
        <w:spacing w:line="240" w:lineRule="auto"/>
        <w:ind w:left="567"/>
        <w:rPr>
          <w:i/>
          <w:lang w:val="en-GB"/>
        </w:rPr>
      </w:pPr>
    </w:p>
    <w:p w14:paraId="2E2CD527" w14:textId="77777777" w:rsidR="003B5124" w:rsidRPr="00AA7E47" w:rsidRDefault="003B5124" w:rsidP="003B5124">
      <w:pPr>
        <w:ind w:left="567"/>
      </w:pPr>
      <w:r>
        <w:rPr>
          <w:i/>
        </w:rPr>
        <w:t xml:space="preserve">Države članice poduzimaju daljnje inicijative kako bi uvele ključne veze na kojima bi se pružale nove željezničke usluge, uključujući noćne vlakove, u čemu prednjače afirmirani željeznički prijevoznici. Takvi su planovi zapravo već objavljeni, primjerice, u Njemačkoj (TEE 2.0), Nizozemskoj i Švedskoj. </w:t>
      </w:r>
      <w:r>
        <w:rPr>
          <w:i/>
          <w:u w:val="single"/>
        </w:rPr>
        <w:t>Tržišno natjecanje prijevoznika na talijanskoj mreži velikih brzina dovelo je do poboljšanja kvalitete usluge, jeftinijih karata i veće učestalosti korištenja usluga, zbog čega je zabilježen primjetni prelazak sa zračnog na željeznički prijevoz. Slične inicijative planiraju se i u Španjolskoj. EGSO smatra da te inicijative pokazuju i mogućnosti postojećeg okvira za stvaranje privlačnih i ekološki prihvatljivih prijevoznih alternativa i potrebu za mjerama kojima bi se olakšavala uspostava prekograničnih veza.</w:t>
      </w:r>
      <w:r>
        <w:rPr>
          <w:i/>
        </w:rPr>
        <w:t xml:space="preserve"> </w:t>
      </w:r>
      <w:r>
        <w:rPr>
          <w:i/>
          <w:strike/>
        </w:rPr>
        <w:t>EGSO smatra da te inicijative pokazuju složenost željezničkog sustava i da slobodan pristup tržištu – koji je na snazi od 2010. za međunarodni prijevoz putnika – nije pravi instrument za poticanje razvoja (međunarodnog) prijevoza putnika na velikim udaljenostima. Nužna je politička volja i političke odluke o davanju prednosti ekološki prihvatljivim i uključivim rješenjima, što bi trebalo biti popraćeno potrebnim ulaganjima i dobrim upravljanjem.</w:t>
      </w:r>
    </w:p>
    <w:p w14:paraId="08FA05C0" w14:textId="77777777" w:rsidR="003B5124" w:rsidRPr="00AA7E47" w:rsidRDefault="003B5124" w:rsidP="003B5124">
      <w:pPr>
        <w:rPr>
          <w:lang w:val="en-GB"/>
        </w:rPr>
      </w:pPr>
    </w:p>
    <w:p w14:paraId="7ABB3C49" w14:textId="77777777" w:rsidR="003B5124" w:rsidRPr="00AA7E47" w:rsidRDefault="003B5124" w:rsidP="00EC61A7">
      <w:pPr>
        <w:keepNext/>
        <w:rPr>
          <w:rFonts w:eastAsia="Calibri"/>
        </w:rPr>
      </w:pPr>
      <w:r>
        <w:t>Rezultat glasanja o amandmanu:</w:t>
      </w:r>
    </w:p>
    <w:p w14:paraId="7C04BCCB" w14:textId="77777777" w:rsidR="003B5124" w:rsidRPr="00AA7E47" w:rsidRDefault="003B5124" w:rsidP="002C7ABF">
      <w:pPr>
        <w:keepNext/>
        <w:spacing w:line="240" w:lineRule="auto"/>
        <w:rPr>
          <w:rFonts w:eastAsia="Calibri"/>
          <w:lang w:val="en-GB" w:eastAsia="en-GB" w:bidi="en-GB"/>
        </w:rPr>
      </w:pPr>
    </w:p>
    <w:p w14:paraId="5CCBB6C0" w14:textId="77777777" w:rsidR="003B5124" w:rsidRPr="00AA7E47" w:rsidRDefault="003B5124" w:rsidP="00B75FE0">
      <w:pPr>
        <w:tabs>
          <w:tab w:val="right" w:pos="2268"/>
        </w:tabs>
        <w:rPr>
          <w:rFonts w:eastAsia="Calibri"/>
        </w:rPr>
      </w:pPr>
      <w:r>
        <w:t>Za:</w:t>
      </w:r>
      <w:r>
        <w:tab/>
        <w:t>104</w:t>
      </w:r>
    </w:p>
    <w:p w14:paraId="0E2EB919" w14:textId="77777777" w:rsidR="003B5124" w:rsidRPr="00AA7E47" w:rsidRDefault="003B5124" w:rsidP="00B75FE0">
      <w:pPr>
        <w:tabs>
          <w:tab w:val="right" w:pos="2268"/>
        </w:tabs>
        <w:rPr>
          <w:rFonts w:eastAsia="Calibri"/>
        </w:rPr>
      </w:pPr>
      <w:r>
        <w:t>Protiv:</w:t>
      </w:r>
      <w:r>
        <w:tab/>
        <w:t>112</w:t>
      </w:r>
    </w:p>
    <w:p w14:paraId="317FA34A" w14:textId="77777777" w:rsidR="003B5124" w:rsidRPr="00AA7E47" w:rsidRDefault="003B5124" w:rsidP="00B75FE0">
      <w:pPr>
        <w:tabs>
          <w:tab w:val="right" w:pos="2268"/>
        </w:tabs>
      </w:pPr>
      <w:r>
        <w:t>Suzdržani:</w:t>
      </w:r>
      <w:r>
        <w:tab/>
        <w:t>15</w:t>
      </w:r>
    </w:p>
    <w:p w14:paraId="08A811FF" w14:textId="77777777" w:rsidR="003B5124" w:rsidRPr="00AA7E47" w:rsidRDefault="003B5124" w:rsidP="003B5124">
      <w:pPr>
        <w:rPr>
          <w:lang w:val="en-GB"/>
        </w:rPr>
      </w:pPr>
    </w:p>
    <w:p w14:paraId="32C71B62" w14:textId="77777777" w:rsidR="003B5124" w:rsidRPr="00AA7E47" w:rsidRDefault="003B5124" w:rsidP="00EC61A7">
      <w:pPr>
        <w:keepNext/>
        <w:rPr>
          <w:b/>
        </w:rPr>
      </w:pPr>
      <w:r>
        <w:rPr>
          <w:b/>
        </w:rPr>
        <w:t>Točka 4.7.</w:t>
      </w:r>
    </w:p>
    <w:p w14:paraId="1B725DD7" w14:textId="77777777" w:rsidR="003B5124" w:rsidRPr="00AA7E47" w:rsidRDefault="003B5124" w:rsidP="002C7ABF">
      <w:pPr>
        <w:keepNext/>
        <w:spacing w:line="240" w:lineRule="auto"/>
        <w:rPr>
          <w:lang w:val="en-GB"/>
        </w:rPr>
      </w:pPr>
    </w:p>
    <w:p w14:paraId="0D86AF6A" w14:textId="77777777" w:rsidR="003B5124" w:rsidRPr="00AA7E47" w:rsidRDefault="003B5124" w:rsidP="00EC61A7">
      <w:pPr>
        <w:keepNext/>
      </w:pPr>
      <w:r>
        <w:t>Izmijeniti kako slijedi:</w:t>
      </w:r>
    </w:p>
    <w:p w14:paraId="030432BA" w14:textId="77777777" w:rsidR="003B5124" w:rsidRPr="00AA7E47" w:rsidRDefault="003B5124" w:rsidP="002C7ABF">
      <w:pPr>
        <w:keepNext/>
        <w:spacing w:line="240" w:lineRule="auto"/>
        <w:rPr>
          <w:lang w:val="en-GB"/>
        </w:rPr>
      </w:pPr>
    </w:p>
    <w:p w14:paraId="531ACC68" w14:textId="77777777" w:rsidR="003B5124" w:rsidRPr="00AA7E47" w:rsidRDefault="003B5124" w:rsidP="003B5124">
      <w:pPr>
        <w:ind w:left="567"/>
      </w:pPr>
      <w:r>
        <w:rPr>
          <w:bCs/>
          <w:i/>
          <w:u w:val="single"/>
        </w:rPr>
        <w:t xml:space="preserve">EGSO prima na znanje trenutačnu prevlast izravnog sklapanja ugovora o javnim uslugama i razvoj regulatornog okvira prema konkurentnom nadmetanju. EGSO očekuje da će Komisija provesti nepristranu analizu ishoda te promjene težišta u pogledu cjenovne pristupačnosti i razine usluga kako je predviđeno člankom 11. Uredbe (EZ) br. 1370/2007, kako je izmijenjena, te da će analiza dati također preporuke o sustavu dodjele ugovora koji korisnicima pruža najbolji omjer </w:t>
      </w:r>
      <w:r>
        <w:rPr>
          <w:bCs/>
          <w:i/>
          <w:u w:val="single"/>
        </w:rPr>
        <w:lastRenderedPageBreak/>
        <w:t>troškova i koristi.</w:t>
      </w:r>
      <w:r>
        <w:rPr>
          <w:bCs/>
          <w:i/>
          <w:strike/>
        </w:rPr>
        <w:t xml:space="preserve"> EGSO smatra da je izravno sklapanje ugovora o javnim uslugama jedna od najdjelotvornijih i najučinkovitijih mjera za promicanje željezničkog prijevoza putnika. To je okosnica željezničkih sustava u npr. Austriji i Švicarskoj, koje su prvaci u pogledu tržišnog udjela. Nadalje, EGSO napominje da ne postoji korelacija između stupnja otvaranja tržišta i zadovoljstva putnika ili cijena karata.</w:t>
      </w:r>
    </w:p>
    <w:p w14:paraId="46208C86" w14:textId="77777777" w:rsidR="003B5124" w:rsidRPr="00AA7E47" w:rsidRDefault="003B5124" w:rsidP="002C7ABF">
      <w:pPr>
        <w:spacing w:line="240" w:lineRule="auto"/>
        <w:rPr>
          <w:lang w:val="en-GB"/>
        </w:rPr>
      </w:pPr>
    </w:p>
    <w:p w14:paraId="69BBB9E2" w14:textId="77777777" w:rsidR="003B5124" w:rsidRPr="00AA7E47" w:rsidRDefault="003B5124" w:rsidP="00EC61A7">
      <w:pPr>
        <w:keepNext/>
        <w:rPr>
          <w:rFonts w:eastAsia="Calibri"/>
        </w:rPr>
      </w:pPr>
      <w:r>
        <w:t>Rezultat glasanja o amandmanu:</w:t>
      </w:r>
    </w:p>
    <w:p w14:paraId="61D6FEB2" w14:textId="77777777" w:rsidR="003B5124" w:rsidRPr="00AA7E47" w:rsidRDefault="003B5124" w:rsidP="002C7ABF">
      <w:pPr>
        <w:keepNext/>
        <w:spacing w:line="240" w:lineRule="auto"/>
        <w:rPr>
          <w:rFonts w:eastAsia="Calibri"/>
          <w:lang w:val="en-GB" w:eastAsia="en-GB" w:bidi="en-GB"/>
        </w:rPr>
      </w:pPr>
    </w:p>
    <w:p w14:paraId="0FF5EC93" w14:textId="77777777" w:rsidR="003B5124" w:rsidRPr="00AA7E47" w:rsidRDefault="003B5124" w:rsidP="00B75FE0">
      <w:pPr>
        <w:tabs>
          <w:tab w:val="right" w:pos="2268"/>
        </w:tabs>
        <w:rPr>
          <w:rFonts w:eastAsia="Calibri"/>
        </w:rPr>
      </w:pPr>
      <w:r>
        <w:t>Za:</w:t>
      </w:r>
      <w:r>
        <w:tab/>
        <w:t>97</w:t>
      </w:r>
    </w:p>
    <w:p w14:paraId="68818B2E" w14:textId="77777777" w:rsidR="003B5124" w:rsidRPr="00AA7E47" w:rsidRDefault="003B5124" w:rsidP="00B75FE0">
      <w:pPr>
        <w:tabs>
          <w:tab w:val="right" w:pos="2268"/>
        </w:tabs>
        <w:rPr>
          <w:rFonts w:eastAsia="Calibri"/>
        </w:rPr>
      </w:pPr>
      <w:r>
        <w:t>Protiv:</w:t>
      </w:r>
      <w:r>
        <w:tab/>
        <w:t>114</w:t>
      </w:r>
    </w:p>
    <w:p w14:paraId="4CC5645D" w14:textId="77777777" w:rsidR="003B5124" w:rsidRPr="00AA7E47" w:rsidRDefault="003B5124" w:rsidP="00B75FE0">
      <w:pPr>
        <w:tabs>
          <w:tab w:val="right" w:pos="2268"/>
        </w:tabs>
      </w:pPr>
      <w:r>
        <w:t>Suzdržani:</w:t>
      </w:r>
      <w:r>
        <w:tab/>
        <w:t>12</w:t>
      </w:r>
    </w:p>
    <w:p w14:paraId="4BA818E7" w14:textId="77777777" w:rsidR="003B5124" w:rsidRPr="00AA7E47" w:rsidRDefault="003B5124" w:rsidP="003B5124">
      <w:pPr>
        <w:rPr>
          <w:lang w:val="en-GB"/>
        </w:rPr>
      </w:pPr>
    </w:p>
    <w:p w14:paraId="0AD03CF3" w14:textId="77777777" w:rsidR="003B5124" w:rsidRPr="00AA7E47" w:rsidRDefault="003B5124" w:rsidP="00EC61A7">
      <w:pPr>
        <w:keepNext/>
        <w:rPr>
          <w:b/>
        </w:rPr>
      </w:pPr>
      <w:r>
        <w:rPr>
          <w:b/>
        </w:rPr>
        <w:t>Točka 5.3.</w:t>
      </w:r>
    </w:p>
    <w:p w14:paraId="71BEE062" w14:textId="77777777" w:rsidR="003B5124" w:rsidRPr="00AA7E47" w:rsidRDefault="003B5124" w:rsidP="002C7ABF">
      <w:pPr>
        <w:keepNext/>
        <w:spacing w:line="240" w:lineRule="auto"/>
        <w:rPr>
          <w:lang w:val="en-GB"/>
        </w:rPr>
      </w:pPr>
    </w:p>
    <w:p w14:paraId="42B312F3" w14:textId="77777777" w:rsidR="003B5124" w:rsidRPr="00AA7E47" w:rsidRDefault="003B5124" w:rsidP="00EC61A7">
      <w:pPr>
        <w:keepNext/>
      </w:pPr>
      <w:r>
        <w:t>Izmijeniti kako slijedi:</w:t>
      </w:r>
    </w:p>
    <w:p w14:paraId="6AEADE26" w14:textId="77777777" w:rsidR="003B5124" w:rsidRPr="00AA7E47" w:rsidRDefault="003B5124" w:rsidP="002C7ABF">
      <w:pPr>
        <w:keepNext/>
        <w:spacing w:line="240" w:lineRule="auto"/>
        <w:rPr>
          <w:lang w:val="en-GB"/>
        </w:rPr>
      </w:pPr>
    </w:p>
    <w:p w14:paraId="4F594AE5" w14:textId="77777777" w:rsidR="003B5124" w:rsidRPr="00AA7E47" w:rsidRDefault="003B5124" w:rsidP="003B5124">
      <w:pPr>
        <w:ind w:left="567"/>
        <w:rPr>
          <w:i/>
          <w:strike/>
        </w:rPr>
      </w:pPr>
      <w:r>
        <w:rPr>
          <w:bCs/>
          <w:i/>
        </w:rPr>
        <w:t>Tijekom pandemije prijevoznici</w:t>
      </w:r>
      <w:r>
        <w:rPr>
          <w:bCs/>
          <w:i/>
          <w:strike/>
        </w:rPr>
        <w:t xml:space="preserve"> u državnom vlasništvu morali</w:t>
      </w:r>
      <w:r>
        <w:rPr>
          <w:bCs/>
          <w:i/>
        </w:rPr>
        <w:t xml:space="preserve"> su </w:t>
      </w:r>
      <w:r>
        <w:rPr>
          <w:bCs/>
          <w:i/>
          <w:u w:val="single"/>
        </w:rPr>
        <w:t>mogli</w:t>
      </w:r>
      <w:r>
        <w:rPr>
          <w:bCs/>
          <w:i/>
        </w:rPr>
        <w:t xml:space="preserve"> nastaviti </w:t>
      </w:r>
      <w:r>
        <w:rPr>
          <w:bCs/>
          <w:i/>
          <w:u w:val="single"/>
        </w:rPr>
        <w:t xml:space="preserve">sigurno </w:t>
      </w:r>
      <w:r>
        <w:rPr>
          <w:bCs/>
          <w:i/>
        </w:rPr>
        <w:t>pružati usluge prijevoza putnika i tereta</w:t>
      </w:r>
      <w:r>
        <w:rPr>
          <w:bCs/>
          <w:i/>
          <w:strike/>
        </w:rPr>
        <w:t xml:space="preserve"> te ujedno zajamčiti sigurno poslovanje</w:t>
      </w:r>
      <w:r>
        <w:rPr>
          <w:bCs/>
          <w:i/>
          <w:u w:val="single"/>
        </w:rPr>
        <w:t>, ali su se ujedno suočavali sa znatnim gubicima zbog smanjenja količine tereta i putnika</w:t>
      </w:r>
      <w:r>
        <w:rPr>
          <w:bCs/>
          <w:i/>
        </w:rPr>
        <w:t xml:space="preserve">. Državne potpore i </w:t>
      </w:r>
      <w:r>
        <w:rPr>
          <w:bCs/>
          <w:i/>
          <w:u w:val="single"/>
        </w:rPr>
        <w:t>djelovanje Europske komisije i država članica za potporu željeznici u financijskom smislu i osobito omogućivanjem kontinuiranih ključnih usluga, uključujući i preko granica, omogućili su kontinuirano funkcioniranje potrebnog putničkog prijevoza i lanaca opskrbe</w:t>
      </w:r>
      <w:r>
        <w:rPr>
          <w:bCs/>
          <w:i/>
        </w:rPr>
        <w:t xml:space="preserve"> </w:t>
      </w:r>
      <w:r>
        <w:rPr>
          <w:bCs/>
          <w:i/>
          <w:strike/>
        </w:rPr>
        <w:t>državne intervencije često sprečavaju kolaps željezničkog sustava, što je nužno za osiguravanje osnovnih usluga</w:t>
      </w:r>
      <w:r>
        <w:rPr>
          <w:bCs/>
          <w:i/>
        </w:rPr>
        <w:t>.</w:t>
      </w:r>
    </w:p>
    <w:p w14:paraId="2F9B0D08" w14:textId="77777777" w:rsidR="003B5124" w:rsidRPr="00AA7E47" w:rsidRDefault="003B5124" w:rsidP="002C7ABF">
      <w:pPr>
        <w:spacing w:line="240" w:lineRule="auto"/>
        <w:rPr>
          <w:lang w:val="en-GB"/>
        </w:rPr>
      </w:pPr>
    </w:p>
    <w:p w14:paraId="6A4FBD93" w14:textId="77777777" w:rsidR="003B5124" w:rsidRPr="00AA7E47" w:rsidRDefault="003B5124" w:rsidP="00EC61A7">
      <w:pPr>
        <w:keepNext/>
        <w:rPr>
          <w:rFonts w:eastAsia="Calibri"/>
        </w:rPr>
      </w:pPr>
      <w:r>
        <w:t>Rezultat glasanja o amandmanu:</w:t>
      </w:r>
    </w:p>
    <w:p w14:paraId="1028B029" w14:textId="77777777" w:rsidR="003B5124" w:rsidRPr="00AA7E47" w:rsidRDefault="003B5124" w:rsidP="002C7ABF">
      <w:pPr>
        <w:keepNext/>
        <w:spacing w:line="240" w:lineRule="auto"/>
        <w:rPr>
          <w:rFonts w:eastAsia="Calibri"/>
          <w:lang w:val="en-GB" w:eastAsia="en-GB" w:bidi="en-GB"/>
        </w:rPr>
      </w:pPr>
    </w:p>
    <w:p w14:paraId="03FABCC3" w14:textId="77777777" w:rsidR="003B5124" w:rsidRPr="00AA7E47" w:rsidRDefault="003B5124" w:rsidP="00B75FE0">
      <w:pPr>
        <w:tabs>
          <w:tab w:val="right" w:pos="2268"/>
        </w:tabs>
        <w:rPr>
          <w:rFonts w:eastAsia="Calibri"/>
        </w:rPr>
      </w:pPr>
      <w:r>
        <w:t>Za:</w:t>
      </w:r>
      <w:r>
        <w:tab/>
        <w:t>94</w:t>
      </w:r>
    </w:p>
    <w:p w14:paraId="45282A3B" w14:textId="77777777" w:rsidR="003B5124" w:rsidRPr="00AA7E47" w:rsidRDefault="003B5124" w:rsidP="00B75FE0">
      <w:pPr>
        <w:tabs>
          <w:tab w:val="right" w:pos="2268"/>
        </w:tabs>
        <w:rPr>
          <w:rFonts w:eastAsia="Calibri"/>
        </w:rPr>
      </w:pPr>
      <w:r>
        <w:t>Protiv:</w:t>
      </w:r>
      <w:r>
        <w:tab/>
        <w:t>119</w:t>
      </w:r>
    </w:p>
    <w:p w14:paraId="30E8E56A" w14:textId="77777777" w:rsidR="003B5124" w:rsidRPr="00AA7E47" w:rsidRDefault="003B5124" w:rsidP="00B75FE0">
      <w:pPr>
        <w:tabs>
          <w:tab w:val="right" w:pos="2268"/>
        </w:tabs>
      </w:pPr>
      <w:r>
        <w:t>Suzdržani:</w:t>
      </w:r>
      <w:r>
        <w:tab/>
        <w:t>7</w:t>
      </w:r>
    </w:p>
    <w:p w14:paraId="71B5CE06" w14:textId="77777777" w:rsidR="003B5124" w:rsidRPr="00AA7E47" w:rsidRDefault="003B5124" w:rsidP="003B5124">
      <w:pPr>
        <w:rPr>
          <w:lang w:val="en-GB"/>
        </w:rPr>
      </w:pPr>
    </w:p>
    <w:p w14:paraId="66ADB70F" w14:textId="77777777" w:rsidR="003B5124" w:rsidRPr="00AA7E47" w:rsidRDefault="003B5124" w:rsidP="00EC61A7">
      <w:pPr>
        <w:keepNext/>
        <w:rPr>
          <w:b/>
        </w:rPr>
      </w:pPr>
      <w:r>
        <w:rPr>
          <w:b/>
        </w:rPr>
        <w:t>Točka 6.5.</w:t>
      </w:r>
    </w:p>
    <w:p w14:paraId="3154B675" w14:textId="77777777" w:rsidR="003B5124" w:rsidRPr="00AA7E47" w:rsidRDefault="003B5124" w:rsidP="002C7ABF">
      <w:pPr>
        <w:keepNext/>
        <w:spacing w:line="240" w:lineRule="auto"/>
        <w:rPr>
          <w:lang w:val="en-GB"/>
        </w:rPr>
      </w:pPr>
    </w:p>
    <w:p w14:paraId="19E87196" w14:textId="77777777" w:rsidR="003B5124" w:rsidRPr="00AA7E47" w:rsidRDefault="003B5124" w:rsidP="00EC61A7">
      <w:pPr>
        <w:keepNext/>
      </w:pPr>
      <w:r>
        <w:t>Izmijeniti kako slijedi:</w:t>
      </w:r>
    </w:p>
    <w:p w14:paraId="055A3B1F" w14:textId="77777777" w:rsidR="003B5124" w:rsidRPr="00AA7E47" w:rsidRDefault="003B5124" w:rsidP="002C7ABF">
      <w:pPr>
        <w:keepNext/>
        <w:spacing w:line="240" w:lineRule="auto"/>
        <w:rPr>
          <w:lang w:val="en-GB"/>
        </w:rPr>
      </w:pPr>
    </w:p>
    <w:p w14:paraId="719ACD81" w14:textId="77777777" w:rsidR="003B5124" w:rsidRPr="00AA7E47" w:rsidRDefault="003B5124" w:rsidP="003B5124">
      <w:pPr>
        <w:ind w:left="567"/>
        <w:rPr>
          <w:i/>
          <w:strike/>
        </w:rPr>
      </w:pPr>
      <w:r>
        <w:rPr>
          <w:bCs/>
          <w:i/>
          <w:strike/>
        </w:rPr>
        <w:t>Međutim, korisna je i</w:t>
      </w:r>
      <w:r>
        <w:rPr>
          <w:bCs/>
          <w:i/>
        </w:rPr>
        <w:t xml:space="preserve"> </w:t>
      </w:r>
      <w:r>
        <w:rPr>
          <w:bCs/>
          <w:i/>
          <w:u w:val="single"/>
        </w:rPr>
        <w:t>EGSO smatra da je</w:t>
      </w:r>
      <w:r>
        <w:rPr>
          <w:bCs/>
          <w:i/>
        </w:rPr>
        <w:t xml:space="preserve"> sloboda odabira organizacijskog oblika </w:t>
      </w:r>
      <w:r>
        <w:rPr>
          <w:bCs/>
          <w:i/>
          <w:u w:val="single"/>
        </w:rPr>
        <w:t>korisna</w:t>
      </w:r>
      <w:r>
        <w:rPr>
          <w:bCs/>
          <w:i/>
          <w:strike/>
        </w:rPr>
        <w:t xml:space="preserve"> te se državama članicama stoga ne bi smjelo nametati razdvajanje</w:t>
      </w:r>
      <w:r>
        <w:rPr>
          <w:bCs/>
          <w:i/>
        </w:rPr>
        <w:t>.</w:t>
      </w:r>
      <w:r>
        <w:rPr>
          <w:bCs/>
          <w:i/>
          <w:u w:val="single"/>
        </w:rPr>
        <w:t xml:space="preserve"> EGSO također smatra da otvoreni dijalog između upravitelja infrastrukture i prijevoznika, koji je uveden u okviru četvrtog željezničkog paketa, donosi dodanu vrijednost jer omogućuje razmjenu relevantnih informacija, što može dovesti do poboljšanja željezničkog prometa i intermodalnosti.</w:t>
      </w:r>
    </w:p>
    <w:p w14:paraId="5ACAC55F" w14:textId="77777777" w:rsidR="003B5124" w:rsidRPr="00AA7E47" w:rsidRDefault="003B5124" w:rsidP="002C7ABF">
      <w:pPr>
        <w:spacing w:line="240" w:lineRule="auto"/>
        <w:rPr>
          <w:lang w:val="en-GB"/>
        </w:rPr>
      </w:pPr>
    </w:p>
    <w:p w14:paraId="3002C2ED" w14:textId="77777777" w:rsidR="003B5124" w:rsidRPr="00AA7E47" w:rsidRDefault="003B5124" w:rsidP="00EC61A7">
      <w:pPr>
        <w:keepNext/>
        <w:rPr>
          <w:rFonts w:eastAsia="Calibri"/>
        </w:rPr>
      </w:pPr>
      <w:r>
        <w:t>Rezultat glasanja o amandmanu:</w:t>
      </w:r>
    </w:p>
    <w:p w14:paraId="74FCC9C6" w14:textId="77777777" w:rsidR="003B5124" w:rsidRPr="00AA7E47" w:rsidRDefault="003B5124" w:rsidP="002C7ABF">
      <w:pPr>
        <w:keepNext/>
        <w:spacing w:line="240" w:lineRule="auto"/>
        <w:rPr>
          <w:rFonts w:eastAsia="Calibri"/>
          <w:lang w:val="en-GB" w:eastAsia="en-GB" w:bidi="en-GB"/>
        </w:rPr>
      </w:pPr>
    </w:p>
    <w:p w14:paraId="20D59C4E" w14:textId="77777777" w:rsidR="003B5124" w:rsidRPr="00AA7E47" w:rsidRDefault="003B5124" w:rsidP="00B75FE0">
      <w:pPr>
        <w:tabs>
          <w:tab w:val="right" w:pos="2268"/>
        </w:tabs>
        <w:rPr>
          <w:rFonts w:eastAsia="Calibri"/>
        </w:rPr>
      </w:pPr>
      <w:r>
        <w:t>Za:</w:t>
      </w:r>
      <w:r>
        <w:tab/>
        <w:t>95</w:t>
      </w:r>
    </w:p>
    <w:p w14:paraId="3DDA1B0D" w14:textId="77777777" w:rsidR="003B5124" w:rsidRPr="00AA7E47" w:rsidRDefault="003B5124" w:rsidP="00B75FE0">
      <w:pPr>
        <w:tabs>
          <w:tab w:val="right" w:pos="2268"/>
        </w:tabs>
        <w:rPr>
          <w:rFonts w:eastAsia="Calibri"/>
        </w:rPr>
      </w:pPr>
      <w:r>
        <w:t>Protiv:</w:t>
      </w:r>
      <w:r>
        <w:tab/>
        <w:t>118</w:t>
      </w:r>
    </w:p>
    <w:p w14:paraId="734C9CD5" w14:textId="77777777" w:rsidR="003B5124" w:rsidRPr="00AA7E47" w:rsidRDefault="003B5124" w:rsidP="00B75FE0">
      <w:pPr>
        <w:tabs>
          <w:tab w:val="right" w:pos="2268"/>
        </w:tabs>
      </w:pPr>
      <w:r>
        <w:t>Suzdržani:</w:t>
      </w:r>
      <w:r>
        <w:tab/>
        <w:t>12</w:t>
      </w:r>
    </w:p>
    <w:p w14:paraId="5D2992C9" w14:textId="77777777" w:rsidR="009F0047" w:rsidRPr="00AA7E47" w:rsidRDefault="009F0047" w:rsidP="00A52F11">
      <w:pPr>
        <w:rPr>
          <w:lang w:val="en-GB"/>
        </w:rPr>
      </w:pPr>
    </w:p>
    <w:p w14:paraId="1EF10928" w14:textId="77777777" w:rsidR="008F6599" w:rsidRPr="00AA7E47" w:rsidRDefault="002D4FE1" w:rsidP="00D71ECE">
      <w:pPr>
        <w:ind w:left="720" w:hanging="720"/>
        <w:jc w:val="center"/>
      </w:pPr>
      <w:r>
        <w:t>_____________</w:t>
      </w:r>
    </w:p>
    <w:sectPr w:rsidR="008F6599" w:rsidRPr="00AA7E47" w:rsidSect="00AA7E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17" w:right="1417" w:bottom="1417" w:left="141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67FE0" w14:textId="77777777" w:rsidR="002811F2" w:rsidRDefault="002811F2">
      <w:r>
        <w:separator/>
      </w:r>
    </w:p>
  </w:endnote>
  <w:endnote w:type="continuationSeparator" w:id="0">
    <w:p w14:paraId="60F48020" w14:textId="77777777" w:rsidR="002811F2" w:rsidRDefault="002811F2">
      <w:r>
        <w:continuationSeparator/>
      </w:r>
    </w:p>
  </w:endnote>
  <w:endnote w:type="continuationNotice" w:id="1">
    <w:p w14:paraId="2959148E" w14:textId="77777777" w:rsidR="002811F2" w:rsidRDefault="002811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74C3" w14:textId="11F6CA12" w:rsidR="00F15A8D" w:rsidRPr="00AA7E47" w:rsidRDefault="00AA7E47" w:rsidP="00AA7E47">
    <w:pPr>
      <w:pStyle w:val="Footer"/>
    </w:pPr>
    <w:r>
      <w:t xml:space="preserve">TEN/727 – EESC-2020-05425-00-01-AC-TRA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752D7C">
      <w:rPr>
        <w:noProof/>
      </w:rPr>
      <w:t>1</w:t>
    </w:r>
    <w:r>
      <w:fldChar w:fldCharType="end"/>
    </w:r>
    <w:r>
      <w:t>/</w:t>
    </w:r>
    <w:fldSimple w:instr=" NUMPAGES ">
      <w:r w:rsidR="00752D7C">
        <w:rPr>
          <w:noProof/>
        </w:rPr>
        <w:t>16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CFCA7" w14:textId="77777777" w:rsidR="00F15A8D" w:rsidRPr="00AA7E47" w:rsidRDefault="00F15A8D" w:rsidP="00AA7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151E5" w14:textId="6D872D7D" w:rsidR="00F15A8D" w:rsidRPr="00AA7E47" w:rsidRDefault="00AA7E47" w:rsidP="00AA7E47">
    <w:pPr>
      <w:pStyle w:val="Footer"/>
    </w:pPr>
    <w:r>
      <w:t xml:space="preserve">TEN/727 – EESC-2020-05425-00-01-AC-TRA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752D7C">
      <w:rPr>
        <w:noProof/>
      </w:rPr>
      <w:t>2</w:t>
    </w:r>
    <w:r>
      <w:fldChar w:fldCharType="end"/>
    </w:r>
    <w:r>
      <w:t>/</w:t>
    </w:r>
    <w:fldSimple w:instr=" NUMPAGES ">
      <w:r w:rsidR="00752D7C">
        <w:rPr>
          <w:noProof/>
        </w:rPr>
        <w:t>16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584B" w14:textId="77777777" w:rsidR="00F15A8D" w:rsidRPr="00AA7E47" w:rsidRDefault="00F15A8D" w:rsidP="00AA7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00737" w14:textId="77777777" w:rsidR="002811F2" w:rsidRDefault="002811F2">
      <w:r>
        <w:separator/>
      </w:r>
    </w:p>
  </w:footnote>
  <w:footnote w:type="continuationSeparator" w:id="0">
    <w:p w14:paraId="1F21BE3F" w14:textId="77777777" w:rsidR="002811F2" w:rsidRDefault="002811F2">
      <w:r>
        <w:continuationSeparator/>
      </w:r>
    </w:p>
  </w:footnote>
  <w:footnote w:type="continuationNotice" w:id="1">
    <w:p w14:paraId="7B3A23FC" w14:textId="77777777" w:rsidR="002811F2" w:rsidRDefault="002811F2">
      <w:pPr>
        <w:spacing w:line="240" w:lineRule="auto"/>
      </w:pPr>
    </w:p>
  </w:footnote>
  <w:footnote w:id="2">
    <w:p w14:paraId="00838312" w14:textId="77777777" w:rsidR="00F15A8D" w:rsidRPr="003E2FE3" w:rsidRDefault="00F15A8D" w:rsidP="00A50F85">
      <w:pPr>
        <w:pStyle w:val="FootnoteText"/>
      </w:pPr>
      <w:r>
        <w:rPr>
          <w:rStyle w:val="FootnoteReference"/>
          <w:lang w:val="en-GB"/>
        </w:rPr>
        <w:footnoteRef/>
      </w:r>
      <w:r>
        <w:tab/>
        <w:t>Podaci iz raznih statističkih knjižica EU-a.</w:t>
      </w:r>
    </w:p>
  </w:footnote>
  <w:footnote w:id="3">
    <w:p w14:paraId="5047FB37" w14:textId="77777777" w:rsidR="00F15A8D" w:rsidRPr="003E2FE3" w:rsidRDefault="00F15A8D">
      <w:pPr>
        <w:pStyle w:val="FootnoteText"/>
      </w:pPr>
      <w:r>
        <w:rPr>
          <w:rStyle w:val="FootnoteReference"/>
          <w:lang w:val="en-GB"/>
        </w:rPr>
        <w:footnoteRef/>
      </w:r>
      <w:r>
        <w:t xml:space="preserve"> </w:t>
      </w:r>
      <w:r>
        <w:tab/>
      </w:r>
      <w:hyperlink r:id="rId1" w:history="1">
        <w:r>
          <w:rPr>
            <w:rStyle w:val="Hyperlink"/>
          </w:rPr>
          <w:t>SWD(2020) 331 final</w:t>
        </w:r>
      </w:hyperlink>
      <w:r>
        <w:t xml:space="preserve">. </w:t>
      </w:r>
    </w:p>
  </w:footnote>
  <w:footnote w:id="4">
    <w:p w14:paraId="747D573A" w14:textId="77777777" w:rsidR="00F15A8D" w:rsidRPr="003E2FE3" w:rsidRDefault="00F15A8D">
      <w:pPr>
        <w:pStyle w:val="FootnoteText"/>
      </w:pPr>
      <w:r>
        <w:rPr>
          <w:rStyle w:val="FootnoteReference"/>
          <w:lang w:val="en-GB"/>
        </w:rPr>
        <w:footnoteRef/>
      </w:r>
      <w:r>
        <w:t xml:space="preserve"> </w:t>
      </w:r>
      <w:r>
        <w:tab/>
        <w:t>Tematsko izvješće Europskog revizorskog suda iz 2016. „Željeznički prijevoz tereta u EU-u i dalje nije na pravome putu”, točke 23. – 27.</w:t>
      </w:r>
    </w:p>
  </w:footnote>
  <w:footnote w:id="5">
    <w:p w14:paraId="0788471B" w14:textId="77777777" w:rsidR="00F15A8D" w:rsidRPr="003E2FE3" w:rsidRDefault="00F15A8D">
      <w:pPr>
        <w:pStyle w:val="FootnoteText"/>
      </w:pPr>
      <w:r>
        <w:rPr>
          <w:rStyle w:val="FootnoteReference"/>
          <w:lang w:val="en-GB"/>
        </w:rPr>
        <w:footnoteRef/>
      </w:r>
      <w:r>
        <w:t xml:space="preserve"> </w:t>
      </w:r>
      <w:r>
        <w:tab/>
      </w:r>
      <w:r>
        <w:rPr>
          <w:i/>
        </w:rPr>
        <w:t>ÖBB Holding Geschäftsbericht 2019</w:t>
      </w:r>
      <w:r>
        <w:t xml:space="preserve"> (Financijski izvještaj ÖBB-a za 2019.) str. 61. i 65–66.</w:t>
      </w:r>
    </w:p>
  </w:footnote>
  <w:footnote w:id="6">
    <w:p w14:paraId="121C942E" w14:textId="77777777" w:rsidR="00F15A8D" w:rsidRPr="003E2FE3" w:rsidRDefault="00F15A8D" w:rsidP="00926621">
      <w:pPr>
        <w:pStyle w:val="FootnoteText"/>
      </w:pPr>
      <w:r>
        <w:rPr>
          <w:rStyle w:val="FootnoteReference"/>
          <w:lang w:val="en-GB"/>
        </w:rPr>
        <w:footnoteRef/>
      </w:r>
      <w:r>
        <w:tab/>
      </w:r>
      <w:hyperlink r:id="rId2" w:history="1">
        <w:r>
          <w:rPr>
            <w:rStyle w:val="Hyperlink"/>
          </w:rPr>
          <w:t>SL L 276, 20.10.2010., str. 22.</w:t>
        </w:r>
      </w:hyperlink>
    </w:p>
  </w:footnote>
  <w:footnote w:id="7">
    <w:p w14:paraId="6D6D531E" w14:textId="77777777" w:rsidR="00F15A8D" w:rsidRPr="003E2FE3" w:rsidRDefault="00F15A8D">
      <w:pPr>
        <w:pStyle w:val="FootnoteText"/>
      </w:pPr>
      <w:r>
        <w:rPr>
          <w:rStyle w:val="FootnoteReference"/>
          <w:lang w:val="en-GB"/>
        </w:rPr>
        <w:footnoteRef/>
      </w:r>
      <w:r>
        <w:t xml:space="preserve"> </w:t>
      </w:r>
      <w:r>
        <w:tab/>
        <w:t>Ocjena provedbe i primjene Sporazuma o određenim aspektima uvjeta rada mobilnih radnika u interoperabilnom prekograničnom prometu u željezničkom sektoru; projekt „Mobilni radnici u željeznici“ – Zajednički zaključci europskih socijalnih partnera u željezničkom sektoru CER-a i ETF-a.</w:t>
      </w:r>
    </w:p>
  </w:footnote>
  <w:footnote w:id="8">
    <w:p w14:paraId="161A9EC3" w14:textId="77777777" w:rsidR="00F15A8D" w:rsidRPr="003E2FE3" w:rsidRDefault="00F15A8D">
      <w:pPr>
        <w:pStyle w:val="FootnoteText"/>
      </w:pPr>
      <w:r>
        <w:rPr>
          <w:rStyle w:val="FootnoteReference"/>
          <w:lang w:val="en-GB"/>
        </w:rPr>
        <w:footnoteRef/>
      </w:r>
      <w:r>
        <w:t xml:space="preserve"> </w:t>
      </w:r>
      <w:r>
        <w:tab/>
      </w:r>
      <w:hyperlink r:id="rId3" w:history="1">
        <w:r>
          <w:rPr>
            <w:rStyle w:val="Hyperlink"/>
          </w:rPr>
          <w:t>https://www.etf-europe.org/resource/joint-cer-etf-opinion-protection-of-staff-september-2013</w:t>
        </w:r>
      </w:hyperlink>
    </w:p>
  </w:footnote>
  <w:footnote w:id="9">
    <w:p w14:paraId="164951DE" w14:textId="77777777" w:rsidR="00F15A8D" w:rsidRPr="003E2FE3" w:rsidRDefault="00F15A8D" w:rsidP="00926621">
      <w:pPr>
        <w:pStyle w:val="FootnoteText"/>
      </w:pPr>
      <w:r>
        <w:rPr>
          <w:rStyle w:val="FootnoteReference"/>
          <w:lang w:val="en-GB"/>
        </w:rPr>
        <w:footnoteRef/>
      </w:r>
      <w:r>
        <w:t xml:space="preserve"> </w:t>
      </w:r>
      <w:r>
        <w:tab/>
        <w:t xml:space="preserve">Vidjeti npr.: </w:t>
      </w:r>
      <w:r>
        <w:rPr>
          <w:i/>
        </w:rPr>
        <w:t>Bundesministerium für Verkehr und digitale Infrastruktur: ”Folgerungen für die zukünftige Verkehrspolitik nach den Erfahrsungen und dem Umgang mit der COVID-19 Pandemie“, Wissenschaftlicher Beirat beim Bundesminister für Verkehr und digitale Infrastruktur Nr 2/Jahr 2020</w:t>
      </w:r>
      <w:r>
        <w:t xml:space="preserve"> (Savezno ministarstvo za promet i digitalnu infrastrukturu: „Zaključci za buduću prometnu politiku izvučeni iz iskustava i mjera povezanih s pandemijom COVID-a 19“, Stručno povjerenstvo pri Saveznom ministarstvu za promet i digitalnu infrastrukturu, mišljenje br. 2/2020.).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F66D" w14:textId="77777777" w:rsidR="00F15A8D" w:rsidRPr="00AA7E47" w:rsidRDefault="00F15A8D" w:rsidP="00AA7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D34D" w14:textId="77777777" w:rsidR="00F15A8D" w:rsidRPr="00AA7E47" w:rsidRDefault="00F15A8D" w:rsidP="00AA7E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79BB" w14:textId="77777777" w:rsidR="00F15A8D" w:rsidRPr="00AA7E47" w:rsidRDefault="00F15A8D" w:rsidP="00AA7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0A31F6"/>
    <w:multiLevelType w:val="hybridMultilevel"/>
    <w:tmpl w:val="2EFE12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9478E"/>
    <w:multiLevelType w:val="hybridMultilevel"/>
    <w:tmpl w:val="C4B2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74F6E"/>
    <w:multiLevelType w:val="hybridMultilevel"/>
    <w:tmpl w:val="E78CA492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B141F1"/>
    <w:multiLevelType w:val="hybridMultilevel"/>
    <w:tmpl w:val="143238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297113"/>
    <w:multiLevelType w:val="hybridMultilevel"/>
    <w:tmpl w:val="B308E75A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 w:numId="69">
    <w:abstractNumId w:val="0"/>
  </w:num>
  <w:num w:numId="70">
    <w:abstractNumId w:val="0"/>
  </w:num>
  <w:num w:numId="71">
    <w:abstractNumId w:val="0"/>
  </w:num>
  <w:num w:numId="72">
    <w:abstractNumId w:val="0"/>
  </w:num>
  <w:num w:numId="73">
    <w:abstractNumId w:val="0"/>
  </w:num>
  <w:num w:numId="74">
    <w:abstractNumId w:val="0"/>
  </w:num>
  <w:num w:numId="75">
    <w:abstractNumId w:val="0"/>
  </w:num>
  <w:num w:numId="76">
    <w:abstractNumId w:val="0"/>
  </w:num>
  <w:num w:numId="77">
    <w:abstractNumId w:val="0"/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fr-BE" w:vendorID="64" w:dllVersion="6" w:nlCheck="1" w:checkStyle="0"/>
  <w:activeWritingStyle w:appName="MSWord" w:lang="en-GB" w:vendorID="64" w:dllVersion="4096" w:nlCheck="1" w:checkStyle="0"/>
  <w:activeWritingStyle w:appName="MSWord" w:lang="sv-SE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activeWritingStyle w:appName="MSWord" w:lang="fr-BE" w:vendorID="64" w:dllVersion="131078" w:nlCheck="1" w:checkStyle="0"/>
  <w:activeWritingStyle w:appName="MSWord" w:lang="en-US" w:vendorID="64" w:dllVersion="131078" w:nlCheck="1" w:checkStyle="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8F"/>
    <w:rsid w:val="00005AB9"/>
    <w:rsid w:val="00005EB9"/>
    <w:rsid w:val="00006384"/>
    <w:rsid w:val="00006E24"/>
    <w:rsid w:val="00007A40"/>
    <w:rsid w:val="00011D33"/>
    <w:rsid w:val="00014491"/>
    <w:rsid w:val="0001647E"/>
    <w:rsid w:val="00016C5D"/>
    <w:rsid w:val="00017283"/>
    <w:rsid w:val="00017BD3"/>
    <w:rsid w:val="00017D40"/>
    <w:rsid w:val="00020E6E"/>
    <w:rsid w:val="00021323"/>
    <w:rsid w:val="0002500B"/>
    <w:rsid w:val="00031A4B"/>
    <w:rsid w:val="00033913"/>
    <w:rsid w:val="00033E5B"/>
    <w:rsid w:val="000357A8"/>
    <w:rsid w:val="000366C7"/>
    <w:rsid w:val="000430A6"/>
    <w:rsid w:val="00044923"/>
    <w:rsid w:val="00044ED1"/>
    <w:rsid w:val="0005249C"/>
    <w:rsid w:val="000534A5"/>
    <w:rsid w:val="0005680D"/>
    <w:rsid w:val="00063FB4"/>
    <w:rsid w:val="0006505E"/>
    <w:rsid w:val="00067383"/>
    <w:rsid w:val="0006793E"/>
    <w:rsid w:val="00072353"/>
    <w:rsid w:val="00072E0F"/>
    <w:rsid w:val="000735E5"/>
    <w:rsid w:val="0007392F"/>
    <w:rsid w:val="00074E2F"/>
    <w:rsid w:val="00076280"/>
    <w:rsid w:val="00076AC1"/>
    <w:rsid w:val="00087B39"/>
    <w:rsid w:val="00094AF7"/>
    <w:rsid w:val="00096502"/>
    <w:rsid w:val="000A1020"/>
    <w:rsid w:val="000A309F"/>
    <w:rsid w:val="000A49BB"/>
    <w:rsid w:val="000B062E"/>
    <w:rsid w:val="000B2A8A"/>
    <w:rsid w:val="000B2DB5"/>
    <w:rsid w:val="000B5740"/>
    <w:rsid w:val="000B65A9"/>
    <w:rsid w:val="000B7AA7"/>
    <w:rsid w:val="000C19D4"/>
    <w:rsid w:val="000C3441"/>
    <w:rsid w:val="000C410D"/>
    <w:rsid w:val="000C5B2C"/>
    <w:rsid w:val="000C7F53"/>
    <w:rsid w:val="000D2F8E"/>
    <w:rsid w:val="000D7C0B"/>
    <w:rsid w:val="000E568D"/>
    <w:rsid w:val="000F196B"/>
    <w:rsid w:val="00102C50"/>
    <w:rsid w:val="00105361"/>
    <w:rsid w:val="001101F8"/>
    <w:rsid w:val="0011206F"/>
    <w:rsid w:val="0011656A"/>
    <w:rsid w:val="001200B8"/>
    <w:rsid w:val="0012220C"/>
    <w:rsid w:val="0012307A"/>
    <w:rsid w:val="00123D48"/>
    <w:rsid w:val="001344E5"/>
    <w:rsid w:val="001347D5"/>
    <w:rsid w:val="00136EA3"/>
    <w:rsid w:val="00137575"/>
    <w:rsid w:val="00144231"/>
    <w:rsid w:val="00145C56"/>
    <w:rsid w:val="00150434"/>
    <w:rsid w:val="0015445A"/>
    <w:rsid w:val="00154E02"/>
    <w:rsid w:val="00155721"/>
    <w:rsid w:val="00164DB4"/>
    <w:rsid w:val="0016503F"/>
    <w:rsid w:val="0016652D"/>
    <w:rsid w:val="0016674F"/>
    <w:rsid w:val="00167CA0"/>
    <w:rsid w:val="001705B0"/>
    <w:rsid w:val="0017120D"/>
    <w:rsid w:val="001714F6"/>
    <w:rsid w:val="00172A42"/>
    <w:rsid w:val="001754CB"/>
    <w:rsid w:val="00176168"/>
    <w:rsid w:val="00177158"/>
    <w:rsid w:val="001808A5"/>
    <w:rsid w:val="00184FD4"/>
    <w:rsid w:val="00186B04"/>
    <w:rsid w:val="00186D51"/>
    <w:rsid w:val="00186F1E"/>
    <w:rsid w:val="00190836"/>
    <w:rsid w:val="00190B30"/>
    <w:rsid w:val="00193930"/>
    <w:rsid w:val="001963A5"/>
    <w:rsid w:val="00196F1E"/>
    <w:rsid w:val="00197FCA"/>
    <w:rsid w:val="001A27DB"/>
    <w:rsid w:val="001A2E83"/>
    <w:rsid w:val="001A62EF"/>
    <w:rsid w:val="001A6852"/>
    <w:rsid w:val="001B286A"/>
    <w:rsid w:val="001B2D02"/>
    <w:rsid w:val="001B3647"/>
    <w:rsid w:val="001B3CBE"/>
    <w:rsid w:val="001B77FA"/>
    <w:rsid w:val="001C0ABE"/>
    <w:rsid w:val="001C0FE1"/>
    <w:rsid w:val="001C3F88"/>
    <w:rsid w:val="001C5852"/>
    <w:rsid w:val="001D0E7C"/>
    <w:rsid w:val="001D14A4"/>
    <w:rsid w:val="001D45F0"/>
    <w:rsid w:val="001D4E7B"/>
    <w:rsid w:val="001E061F"/>
    <w:rsid w:val="001E4A33"/>
    <w:rsid w:val="001E4B42"/>
    <w:rsid w:val="001E5C27"/>
    <w:rsid w:val="001F15E3"/>
    <w:rsid w:val="001F602B"/>
    <w:rsid w:val="001F6AC8"/>
    <w:rsid w:val="002037D5"/>
    <w:rsid w:val="00206F90"/>
    <w:rsid w:val="00210193"/>
    <w:rsid w:val="00210796"/>
    <w:rsid w:val="00212B03"/>
    <w:rsid w:val="00212C8B"/>
    <w:rsid w:val="002131AE"/>
    <w:rsid w:val="00215C10"/>
    <w:rsid w:val="00215C2D"/>
    <w:rsid w:val="0022499E"/>
    <w:rsid w:val="002252C4"/>
    <w:rsid w:val="002257D6"/>
    <w:rsid w:val="0023183E"/>
    <w:rsid w:val="00235138"/>
    <w:rsid w:val="00236A0E"/>
    <w:rsid w:val="00240E5F"/>
    <w:rsid w:val="0024220D"/>
    <w:rsid w:val="00243E36"/>
    <w:rsid w:val="0024540B"/>
    <w:rsid w:val="00245EF4"/>
    <w:rsid w:val="00246B80"/>
    <w:rsid w:val="00250E11"/>
    <w:rsid w:val="00251383"/>
    <w:rsid w:val="002522C9"/>
    <w:rsid w:val="00252A21"/>
    <w:rsid w:val="00253E4F"/>
    <w:rsid w:val="002542E4"/>
    <w:rsid w:val="00261053"/>
    <w:rsid w:val="00262FDE"/>
    <w:rsid w:val="00263629"/>
    <w:rsid w:val="002706C8"/>
    <w:rsid w:val="002769BD"/>
    <w:rsid w:val="00276A75"/>
    <w:rsid w:val="00277000"/>
    <w:rsid w:val="002809EA"/>
    <w:rsid w:val="002811F2"/>
    <w:rsid w:val="00284962"/>
    <w:rsid w:val="00287B0E"/>
    <w:rsid w:val="0029322E"/>
    <w:rsid w:val="002A0B53"/>
    <w:rsid w:val="002A0EEF"/>
    <w:rsid w:val="002A2E7E"/>
    <w:rsid w:val="002A433C"/>
    <w:rsid w:val="002B1CEB"/>
    <w:rsid w:val="002B2DF7"/>
    <w:rsid w:val="002C0595"/>
    <w:rsid w:val="002C3BF4"/>
    <w:rsid w:val="002C3C7C"/>
    <w:rsid w:val="002C3CFE"/>
    <w:rsid w:val="002C749F"/>
    <w:rsid w:val="002C7ABF"/>
    <w:rsid w:val="002D0D94"/>
    <w:rsid w:val="002D1723"/>
    <w:rsid w:val="002D1D80"/>
    <w:rsid w:val="002D466F"/>
    <w:rsid w:val="002D4FE1"/>
    <w:rsid w:val="002E0A4C"/>
    <w:rsid w:val="002E33BC"/>
    <w:rsid w:val="002E4D69"/>
    <w:rsid w:val="002E7B33"/>
    <w:rsid w:val="002F059B"/>
    <w:rsid w:val="002F5B0B"/>
    <w:rsid w:val="00300924"/>
    <w:rsid w:val="00301795"/>
    <w:rsid w:val="00301D8C"/>
    <w:rsid w:val="0030596E"/>
    <w:rsid w:val="003073C3"/>
    <w:rsid w:val="003162DA"/>
    <w:rsid w:val="003204C9"/>
    <w:rsid w:val="00321D39"/>
    <w:rsid w:val="00321EB6"/>
    <w:rsid w:val="00323637"/>
    <w:rsid w:val="00324E8A"/>
    <w:rsid w:val="00330316"/>
    <w:rsid w:val="00330390"/>
    <w:rsid w:val="00331D87"/>
    <w:rsid w:val="00332850"/>
    <w:rsid w:val="00334478"/>
    <w:rsid w:val="003346B4"/>
    <w:rsid w:val="00334AE6"/>
    <w:rsid w:val="003365D0"/>
    <w:rsid w:val="003371D3"/>
    <w:rsid w:val="003439AB"/>
    <w:rsid w:val="00343A83"/>
    <w:rsid w:val="00345823"/>
    <w:rsid w:val="0034665F"/>
    <w:rsid w:val="0035034C"/>
    <w:rsid w:val="00350A46"/>
    <w:rsid w:val="00354695"/>
    <w:rsid w:val="0035549B"/>
    <w:rsid w:val="0035763B"/>
    <w:rsid w:val="00361499"/>
    <w:rsid w:val="003663E8"/>
    <w:rsid w:val="003755C8"/>
    <w:rsid w:val="00375687"/>
    <w:rsid w:val="00380AE0"/>
    <w:rsid w:val="00383324"/>
    <w:rsid w:val="00387A75"/>
    <w:rsid w:val="003902BF"/>
    <w:rsid w:val="003904FD"/>
    <w:rsid w:val="00394254"/>
    <w:rsid w:val="003A7EB1"/>
    <w:rsid w:val="003B0FA0"/>
    <w:rsid w:val="003B17AA"/>
    <w:rsid w:val="003B2848"/>
    <w:rsid w:val="003B5124"/>
    <w:rsid w:val="003B7292"/>
    <w:rsid w:val="003C2BFB"/>
    <w:rsid w:val="003C418B"/>
    <w:rsid w:val="003C436B"/>
    <w:rsid w:val="003C5337"/>
    <w:rsid w:val="003C5F92"/>
    <w:rsid w:val="003C7E1E"/>
    <w:rsid w:val="003D07C2"/>
    <w:rsid w:val="003D7A8C"/>
    <w:rsid w:val="003D7C00"/>
    <w:rsid w:val="003E2FE3"/>
    <w:rsid w:val="003E56E5"/>
    <w:rsid w:val="003E65F9"/>
    <w:rsid w:val="003E7E60"/>
    <w:rsid w:val="003F00D4"/>
    <w:rsid w:val="003F2209"/>
    <w:rsid w:val="003F3D39"/>
    <w:rsid w:val="003F4FC2"/>
    <w:rsid w:val="003F646A"/>
    <w:rsid w:val="003F6761"/>
    <w:rsid w:val="003F6A0A"/>
    <w:rsid w:val="00401469"/>
    <w:rsid w:val="004024F5"/>
    <w:rsid w:val="00402A4F"/>
    <w:rsid w:val="00402DE1"/>
    <w:rsid w:val="00403D8B"/>
    <w:rsid w:val="004058F1"/>
    <w:rsid w:val="00407E7D"/>
    <w:rsid w:val="00411FC5"/>
    <w:rsid w:val="004121E0"/>
    <w:rsid w:val="0041283D"/>
    <w:rsid w:val="00413AB4"/>
    <w:rsid w:val="00421373"/>
    <w:rsid w:val="00421FB7"/>
    <w:rsid w:val="00422F82"/>
    <w:rsid w:val="00426A10"/>
    <w:rsid w:val="0042763B"/>
    <w:rsid w:val="0043024C"/>
    <w:rsid w:val="00436706"/>
    <w:rsid w:val="00442107"/>
    <w:rsid w:val="00443D38"/>
    <w:rsid w:val="00445DDA"/>
    <w:rsid w:val="004466D5"/>
    <w:rsid w:val="00450E7A"/>
    <w:rsid w:val="00456AF8"/>
    <w:rsid w:val="00457A1A"/>
    <w:rsid w:val="00470B15"/>
    <w:rsid w:val="00471214"/>
    <w:rsid w:val="00473425"/>
    <w:rsid w:val="00475585"/>
    <w:rsid w:val="00475869"/>
    <w:rsid w:val="00475A77"/>
    <w:rsid w:val="00476A8E"/>
    <w:rsid w:val="00477C79"/>
    <w:rsid w:val="00484504"/>
    <w:rsid w:val="004866A9"/>
    <w:rsid w:val="00486772"/>
    <w:rsid w:val="00487435"/>
    <w:rsid w:val="004905FA"/>
    <w:rsid w:val="0049118D"/>
    <w:rsid w:val="00492774"/>
    <w:rsid w:val="00496D7A"/>
    <w:rsid w:val="004A2915"/>
    <w:rsid w:val="004A31BC"/>
    <w:rsid w:val="004A3F1A"/>
    <w:rsid w:val="004A3F45"/>
    <w:rsid w:val="004A5EAA"/>
    <w:rsid w:val="004B1AFA"/>
    <w:rsid w:val="004B35DD"/>
    <w:rsid w:val="004B500B"/>
    <w:rsid w:val="004B7088"/>
    <w:rsid w:val="004B717F"/>
    <w:rsid w:val="004C1E74"/>
    <w:rsid w:val="004C4C1A"/>
    <w:rsid w:val="004C4C41"/>
    <w:rsid w:val="004C4D12"/>
    <w:rsid w:val="004C5B76"/>
    <w:rsid w:val="004D02CD"/>
    <w:rsid w:val="004D0B24"/>
    <w:rsid w:val="004D4B90"/>
    <w:rsid w:val="004D6B95"/>
    <w:rsid w:val="004D7F41"/>
    <w:rsid w:val="004E0236"/>
    <w:rsid w:val="004E03A2"/>
    <w:rsid w:val="004E25B5"/>
    <w:rsid w:val="004E317E"/>
    <w:rsid w:val="004E3954"/>
    <w:rsid w:val="004E5856"/>
    <w:rsid w:val="004E5F2E"/>
    <w:rsid w:val="004F2330"/>
    <w:rsid w:val="004F53C6"/>
    <w:rsid w:val="004F55C6"/>
    <w:rsid w:val="004F68A9"/>
    <w:rsid w:val="004F69DB"/>
    <w:rsid w:val="004F6B87"/>
    <w:rsid w:val="004F7139"/>
    <w:rsid w:val="004F7744"/>
    <w:rsid w:val="00500AE4"/>
    <w:rsid w:val="00501C2D"/>
    <w:rsid w:val="00502637"/>
    <w:rsid w:val="0050397D"/>
    <w:rsid w:val="005109D4"/>
    <w:rsid w:val="00511140"/>
    <w:rsid w:val="00513CFE"/>
    <w:rsid w:val="00513FF8"/>
    <w:rsid w:val="00523B6A"/>
    <w:rsid w:val="00525F6C"/>
    <w:rsid w:val="005324D0"/>
    <w:rsid w:val="00537440"/>
    <w:rsid w:val="00544E97"/>
    <w:rsid w:val="00546AB4"/>
    <w:rsid w:val="00547FEA"/>
    <w:rsid w:val="005514E5"/>
    <w:rsid w:val="005558AD"/>
    <w:rsid w:val="00557728"/>
    <w:rsid w:val="00563C84"/>
    <w:rsid w:val="00564B6C"/>
    <w:rsid w:val="005762F6"/>
    <w:rsid w:val="005764D7"/>
    <w:rsid w:val="00581799"/>
    <w:rsid w:val="00582C76"/>
    <w:rsid w:val="00584FBE"/>
    <w:rsid w:val="00585483"/>
    <w:rsid w:val="00585555"/>
    <w:rsid w:val="00587378"/>
    <w:rsid w:val="00587C05"/>
    <w:rsid w:val="00590AAB"/>
    <w:rsid w:val="00591585"/>
    <w:rsid w:val="005938C3"/>
    <w:rsid w:val="0059468C"/>
    <w:rsid w:val="00595125"/>
    <w:rsid w:val="00596F21"/>
    <w:rsid w:val="005A1E3B"/>
    <w:rsid w:val="005A7101"/>
    <w:rsid w:val="005A76CA"/>
    <w:rsid w:val="005B11AD"/>
    <w:rsid w:val="005B1CDD"/>
    <w:rsid w:val="005B1E19"/>
    <w:rsid w:val="005B26B5"/>
    <w:rsid w:val="005B3844"/>
    <w:rsid w:val="005B52B5"/>
    <w:rsid w:val="005B55FC"/>
    <w:rsid w:val="005B74C8"/>
    <w:rsid w:val="005C2D5E"/>
    <w:rsid w:val="005C37E5"/>
    <w:rsid w:val="005C3B81"/>
    <w:rsid w:val="005C650C"/>
    <w:rsid w:val="005C7B61"/>
    <w:rsid w:val="005D0638"/>
    <w:rsid w:val="005D086C"/>
    <w:rsid w:val="005D11D3"/>
    <w:rsid w:val="005D45BF"/>
    <w:rsid w:val="005D4E1F"/>
    <w:rsid w:val="005D4FB3"/>
    <w:rsid w:val="005E1ACD"/>
    <w:rsid w:val="005E2F07"/>
    <w:rsid w:val="005E2FEA"/>
    <w:rsid w:val="005E37DE"/>
    <w:rsid w:val="005F314B"/>
    <w:rsid w:val="005F5E70"/>
    <w:rsid w:val="00611AF2"/>
    <w:rsid w:val="0061212B"/>
    <w:rsid w:val="006127AF"/>
    <w:rsid w:val="00612CAC"/>
    <w:rsid w:val="00613A3C"/>
    <w:rsid w:val="00613A98"/>
    <w:rsid w:val="00613C6C"/>
    <w:rsid w:val="00615FB2"/>
    <w:rsid w:val="00616EAD"/>
    <w:rsid w:val="00617BD1"/>
    <w:rsid w:val="00617CE8"/>
    <w:rsid w:val="0062078B"/>
    <w:rsid w:val="00621A7B"/>
    <w:rsid w:val="00625EB4"/>
    <w:rsid w:val="006278A0"/>
    <w:rsid w:val="0063095F"/>
    <w:rsid w:val="00631CBD"/>
    <w:rsid w:val="006349A4"/>
    <w:rsid w:val="006349C1"/>
    <w:rsid w:val="0063704F"/>
    <w:rsid w:val="00643DC7"/>
    <w:rsid w:val="00646AC2"/>
    <w:rsid w:val="00650390"/>
    <w:rsid w:val="006531D8"/>
    <w:rsid w:val="00653553"/>
    <w:rsid w:val="00654DAB"/>
    <w:rsid w:val="00660B08"/>
    <w:rsid w:val="0066204A"/>
    <w:rsid w:val="006649D8"/>
    <w:rsid w:val="006663BA"/>
    <w:rsid w:val="0066742B"/>
    <w:rsid w:val="0067016E"/>
    <w:rsid w:val="00670E3C"/>
    <w:rsid w:val="006722C2"/>
    <w:rsid w:val="006728BC"/>
    <w:rsid w:val="00677F57"/>
    <w:rsid w:val="00681088"/>
    <w:rsid w:val="00692448"/>
    <w:rsid w:val="0069432B"/>
    <w:rsid w:val="0069577E"/>
    <w:rsid w:val="0069634B"/>
    <w:rsid w:val="00696623"/>
    <w:rsid w:val="00697922"/>
    <w:rsid w:val="006A04E9"/>
    <w:rsid w:val="006A16D7"/>
    <w:rsid w:val="006A2DC8"/>
    <w:rsid w:val="006A3311"/>
    <w:rsid w:val="006A4A03"/>
    <w:rsid w:val="006A6361"/>
    <w:rsid w:val="006A7543"/>
    <w:rsid w:val="006A76BC"/>
    <w:rsid w:val="006B725C"/>
    <w:rsid w:val="006C1E10"/>
    <w:rsid w:val="006C273D"/>
    <w:rsid w:val="006C28C8"/>
    <w:rsid w:val="006C5C4F"/>
    <w:rsid w:val="006C6282"/>
    <w:rsid w:val="006C762A"/>
    <w:rsid w:val="006D18CB"/>
    <w:rsid w:val="006D4288"/>
    <w:rsid w:val="006D5FF9"/>
    <w:rsid w:val="006E0772"/>
    <w:rsid w:val="006E0F86"/>
    <w:rsid w:val="006E2411"/>
    <w:rsid w:val="006E298A"/>
    <w:rsid w:val="006F0B15"/>
    <w:rsid w:val="006F0D8A"/>
    <w:rsid w:val="006F0DCC"/>
    <w:rsid w:val="006F239F"/>
    <w:rsid w:val="006F61AC"/>
    <w:rsid w:val="00703DF9"/>
    <w:rsid w:val="00703F75"/>
    <w:rsid w:val="007048EB"/>
    <w:rsid w:val="00704FBB"/>
    <w:rsid w:val="0070726A"/>
    <w:rsid w:val="00710D79"/>
    <w:rsid w:val="0071226B"/>
    <w:rsid w:val="00714F7E"/>
    <w:rsid w:val="00717040"/>
    <w:rsid w:val="007220F0"/>
    <w:rsid w:val="007223BE"/>
    <w:rsid w:val="007240DA"/>
    <w:rsid w:val="00727CFE"/>
    <w:rsid w:val="00734504"/>
    <w:rsid w:val="00734BAF"/>
    <w:rsid w:val="00735A8A"/>
    <w:rsid w:val="0073618D"/>
    <w:rsid w:val="00740559"/>
    <w:rsid w:val="00752D7C"/>
    <w:rsid w:val="007622A7"/>
    <w:rsid w:val="0076640D"/>
    <w:rsid w:val="007750A2"/>
    <w:rsid w:val="007817D6"/>
    <w:rsid w:val="00781E1C"/>
    <w:rsid w:val="00787912"/>
    <w:rsid w:val="007901FB"/>
    <w:rsid w:val="00790BA7"/>
    <w:rsid w:val="0079177A"/>
    <w:rsid w:val="00792277"/>
    <w:rsid w:val="00794836"/>
    <w:rsid w:val="007948D5"/>
    <w:rsid w:val="007949DF"/>
    <w:rsid w:val="007A15C9"/>
    <w:rsid w:val="007A245B"/>
    <w:rsid w:val="007A6676"/>
    <w:rsid w:val="007B05B3"/>
    <w:rsid w:val="007B0F5D"/>
    <w:rsid w:val="007B6368"/>
    <w:rsid w:val="007B7FF5"/>
    <w:rsid w:val="007C37D7"/>
    <w:rsid w:val="007C3FC6"/>
    <w:rsid w:val="007D1821"/>
    <w:rsid w:val="007D2CE9"/>
    <w:rsid w:val="007D4FED"/>
    <w:rsid w:val="007D69DA"/>
    <w:rsid w:val="007D70B1"/>
    <w:rsid w:val="007D7140"/>
    <w:rsid w:val="007E1CDB"/>
    <w:rsid w:val="007E408C"/>
    <w:rsid w:val="007E5030"/>
    <w:rsid w:val="007E61FD"/>
    <w:rsid w:val="007E6FFC"/>
    <w:rsid w:val="007E7849"/>
    <w:rsid w:val="007E7E21"/>
    <w:rsid w:val="007F0460"/>
    <w:rsid w:val="007F0DA2"/>
    <w:rsid w:val="007F17C3"/>
    <w:rsid w:val="007F3990"/>
    <w:rsid w:val="007F39CE"/>
    <w:rsid w:val="007F3F09"/>
    <w:rsid w:val="007F4302"/>
    <w:rsid w:val="007F5E0D"/>
    <w:rsid w:val="007F7074"/>
    <w:rsid w:val="00800285"/>
    <w:rsid w:val="00801085"/>
    <w:rsid w:val="00801A89"/>
    <w:rsid w:val="00812138"/>
    <w:rsid w:val="008151F2"/>
    <w:rsid w:val="0081777A"/>
    <w:rsid w:val="008210E0"/>
    <w:rsid w:val="00821B28"/>
    <w:rsid w:val="00822FD3"/>
    <w:rsid w:val="00823F3A"/>
    <w:rsid w:val="00824079"/>
    <w:rsid w:val="00826DA1"/>
    <w:rsid w:val="00831355"/>
    <w:rsid w:val="00831F0A"/>
    <w:rsid w:val="00833A78"/>
    <w:rsid w:val="00841BBC"/>
    <w:rsid w:val="00843F0D"/>
    <w:rsid w:val="0084585F"/>
    <w:rsid w:val="00853E53"/>
    <w:rsid w:val="00853F14"/>
    <w:rsid w:val="0085535C"/>
    <w:rsid w:val="00864D76"/>
    <w:rsid w:val="008656C9"/>
    <w:rsid w:val="0086711C"/>
    <w:rsid w:val="00867535"/>
    <w:rsid w:val="00871C4C"/>
    <w:rsid w:val="00872D20"/>
    <w:rsid w:val="00873606"/>
    <w:rsid w:val="00875C0A"/>
    <w:rsid w:val="00875C5B"/>
    <w:rsid w:val="00883C5F"/>
    <w:rsid w:val="0088665C"/>
    <w:rsid w:val="008914D4"/>
    <w:rsid w:val="00891C7D"/>
    <w:rsid w:val="00892FA7"/>
    <w:rsid w:val="008971A8"/>
    <w:rsid w:val="008A3301"/>
    <w:rsid w:val="008A493F"/>
    <w:rsid w:val="008A4DF1"/>
    <w:rsid w:val="008A5636"/>
    <w:rsid w:val="008A6FC1"/>
    <w:rsid w:val="008B02EC"/>
    <w:rsid w:val="008B125E"/>
    <w:rsid w:val="008B241C"/>
    <w:rsid w:val="008B408B"/>
    <w:rsid w:val="008B4F11"/>
    <w:rsid w:val="008B5B61"/>
    <w:rsid w:val="008B5D1F"/>
    <w:rsid w:val="008C2362"/>
    <w:rsid w:val="008C3049"/>
    <w:rsid w:val="008D12C3"/>
    <w:rsid w:val="008D23AE"/>
    <w:rsid w:val="008D2E9E"/>
    <w:rsid w:val="008D4AE9"/>
    <w:rsid w:val="008D5CF3"/>
    <w:rsid w:val="008D7D39"/>
    <w:rsid w:val="008E4574"/>
    <w:rsid w:val="008E7072"/>
    <w:rsid w:val="008F0020"/>
    <w:rsid w:val="008F4016"/>
    <w:rsid w:val="008F42FE"/>
    <w:rsid w:val="008F4A00"/>
    <w:rsid w:val="008F5402"/>
    <w:rsid w:val="008F58FE"/>
    <w:rsid w:val="008F6599"/>
    <w:rsid w:val="0090053A"/>
    <w:rsid w:val="00901C2A"/>
    <w:rsid w:val="00905882"/>
    <w:rsid w:val="009118C7"/>
    <w:rsid w:val="00920190"/>
    <w:rsid w:val="009225B6"/>
    <w:rsid w:val="009232AE"/>
    <w:rsid w:val="0092428C"/>
    <w:rsid w:val="00925397"/>
    <w:rsid w:val="00926621"/>
    <w:rsid w:val="009266F8"/>
    <w:rsid w:val="00926D95"/>
    <w:rsid w:val="009275F3"/>
    <w:rsid w:val="00927983"/>
    <w:rsid w:val="00932B42"/>
    <w:rsid w:val="00933A21"/>
    <w:rsid w:val="00934C10"/>
    <w:rsid w:val="0093662A"/>
    <w:rsid w:val="0094060C"/>
    <w:rsid w:val="00942C4B"/>
    <w:rsid w:val="00944196"/>
    <w:rsid w:val="00945F12"/>
    <w:rsid w:val="00947C96"/>
    <w:rsid w:val="009567B8"/>
    <w:rsid w:val="009606A5"/>
    <w:rsid w:val="00962F1F"/>
    <w:rsid w:val="009651F6"/>
    <w:rsid w:val="00965304"/>
    <w:rsid w:val="00971293"/>
    <w:rsid w:val="00971F79"/>
    <w:rsid w:val="00972A91"/>
    <w:rsid w:val="00973A3B"/>
    <w:rsid w:val="00980062"/>
    <w:rsid w:val="00981B48"/>
    <w:rsid w:val="00983EAE"/>
    <w:rsid w:val="0098760B"/>
    <w:rsid w:val="00991DDA"/>
    <w:rsid w:val="009A11DD"/>
    <w:rsid w:val="009A139A"/>
    <w:rsid w:val="009A4B6F"/>
    <w:rsid w:val="009B1224"/>
    <w:rsid w:val="009B1C7B"/>
    <w:rsid w:val="009B30AA"/>
    <w:rsid w:val="009B51B8"/>
    <w:rsid w:val="009B5217"/>
    <w:rsid w:val="009C337C"/>
    <w:rsid w:val="009C48DE"/>
    <w:rsid w:val="009C4BB6"/>
    <w:rsid w:val="009C4F8E"/>
    <w:rsid w:val="009C6E74"/>
    <w:rsid w:val="009D26DA"/>
    <w:rsid w:val="009D4420"/>
    <w:rsid w:val="009D60D9"/>
    <w:rsid w:val="009E1E1E"/>
    <w:rsid w:val="009E23C4"/>
    <w:rsid w:val="009E33E3"/>
    <w:rsid w:val="009E560B"/>
    <w:rsid w:val="009E7F16"/>
    <w:rsid w:val="009F0047"/>
    <w:rsid w:val="009F3CF7"/>
    <w:rsid w:val="009F47EE"/>
    <w:rsid w:val="009F5052"/>
    <w:rsid w:val="009F5F7B"/>
    <w:rsid w:val="00A0206E"/>
    <w:rsid w:val="00A03083"/>
    <w:rsid w:val="00A04C85"/>
    <w:rsid w:val="00A100F0"/>
    <w:rsid w:val="00A156E6"/>
    <w:rsid w:val="00A15D52"/>
    <w:rsid w:val="00A16EB0"/>
    <w:rsid w:val="00A177C5"/>
    <w:rsid w:val="00A22956"/>
    <w:rsid w:val="00A22B99"/>
    <w:rsid w:val="00A27D86"/>
    <w:rsid w:val="00A30A3D"/>
    <w:rsid w:val="00A31A0D"/>
    <w:rsid w:val="00A33151"/>
    <w:rsid w:val="00A34383"/>
    <w:rsid w:val="00A35C06"/>
    <w:rsid w:val="00A36970"/>
    <w:rsid w:val="00A41EB4"/>
    <w:rsid w:val="00A44BFF"/>
    <w:rsid w:val="00A47C8D"/>
    <w:rsid w:val="00A501E3"/>
    <w:rsid w:val="00A50F0C"/>
    <w:rsid w:val="00A50F85"/>
    <w:rsid w:val="00A521AF"/>
    <w:rsid w:val="00A52F11"/>
    <w:rsid w:val="00A535A6"/>
    <w:rsid w:val="00A56441"/>
    <w:rsid w:val="00A62075"/>
    <w:rsid w:val="00A63797"/>
    <w:rsid w:val="00A7262A"/>
    <w:rsid w:val="00A736DD"/>
    <w:rsid w:val="00A7486A"/>
    <w:rsid w:val="00A82869"/>
    <w:rsid w:val="00A83B91"/>
    <w:rsid w:val="00A870AE"/>
    <w:rsid w:val="00A8758C"/>
    <w:rsid w:val="00A92334"/>
    <w:rsid w:val="00A96801"/>
    <w:rsid w:val="00AA127E"/>
    <w:rsid w:val="00AA19AE"/>
    <w:rsid w:val="00AA423D"/>
    <w:rsid w:val="00AA5BBE"/>
    <w:rsid w:val="00AA6A95"/>
    <w:rsid w:val="00AA7E47"/>
    <w:rsid w:val="00AB1076"/>
    <w:rsid w:val="00AB10DE"/>
    <w:rsid w:val="00AB20E8"/>
    <w:rsid w:val="00AB26C0"/>
    <w:rsid w:val="00AB3668"/>
    <w:rsid w:val="00AB5ED7"/>
    <w:rsid w:val="00AB6E1C"/>
    <w:rsid w:val="00AC0B4C"/>
    <w:rsid w:val="00AC75E9"/>
    <w:rsid w:val="00AD0AEE"/>
    <w:rsid w:val="00AD49E3"/>
    <w:rsid w:val="00AD4B4F"/>
    <w:rsid w:val="00AD6275"/>
    <w:rsid w:val="00AD7B96"/>
    <w:rsid w:val="00AE0BE6"/>
    <w:rsid w:val="00AE3507"/>
    <w:rsid w:val="00AE397F"/>
    <w:rsid w:val="00AF0616"/>
    <w:rsid w:val="00AF0785"/>
    <w:rsid w:val="00AF0E28"/>
    <w:rsid w:val="00AF4764"/>
    <w:rsid w:val="00AF6F9B"/>
    <w:rsid w:val="00B01409"/>
    <w:rsid w:val="00B10DBD"/>
    <w:rsid w:val="00B12156"/>
    <w:rsid w:val="00B13A4C"/>
    <w:rsid w:val="00B1534D"/>
    <w:rsid w:val="00B1555D"/>
    <w:rsid w:val="00B15629"/>
    <w:rsid w:val="00B16182"/>
    <w:rsid w:val="00B17E90"/>
    <w:rsid w:val="00B232A4"/>
    <w:rsid w:val="00B2372C"/>
    <w:rsid w:val="00B27A8F"/>
    <w:rsid w:val="00B32F70"/>
    <w:rsid w:val="00B3462E"/>
    <w:rsid w:val="00B373D0"/>
    <w:rsid w:val="00B43A1F"/>
    <w:rsid w:val="00B43AAA"/>
    <w:rsid w:val="00B526C7"/>
    <w:rsid w:val="00B53139"/>
    <w:rsid w:val="00B562CE"/>
    <w:rsid w:val="00B56366"/>
    <w:rsid w:val="00B62DE2"/>
    <w:rsid w:val="00B647EC"/>
    <w:rsid w:val="00B74417"/>
    <w:rsid w:val="00B75FE0"/>
    <w:rsid w:val="00B77246"/>
    <w:rsid w:val="00B804A1"/>
    <w:rsid w:val="00B807AA"/>
    <w:rsid w:val="00B866CD"/>
    <w:rsid w:val="00B93034"/>
    <w:rsid w:val="00B97C5D"/>
    <w:rsid w:val="00BA05B2"/>
    <w:rsid w:val="00BA1290"/>
    <w:rsid w:val="00BB1BF7"/>
    <w:rsid w:val="00BB2792"/>
    <w:rsid w:val="00BB359B"/>
    <w:rsid w:val="00BB71D7"/>
    <w:rsid w:val="00BB76BF"/>
    <w:rsid w:val="00BC1AD1"/>
    <w:rsid w:val="00BC2951"/>
    <w:rsid w:val="00BC3F01"/>
    <w:rsid w:val="00BC4A58"/>
    <w:rsid w:val="00BC613B"/>
    <w:rsid w:val="00BC67FF"/>
    <w:rsid w:val="00BD1CBC"/>
    <w:rsid w:val="00BD51D9"/>
    <w:rsid w:val="00BD64E2"/>
    <w:rsid w:val="00BE02C2"/>
    <w:rsid w:val="00BE3518"/>
    <w:rsid w:val="00BE40DB"/>
    <w:rsid w:val="00BE4995"/>
    <w:rsid w:val="00BF429A"/>
    <w:rsid w:val="00BF62BE"/>
    <w:rsid w:val="00C00C52"/>
    <w:rsid w:val="00C04278"/>
    <w:rsid w:val="00C06A7B"/>
    <w:rsid w:val="00C06EF3"/>
    <w:rsid w:val="00C07126"/>
    <w:rsid w:val="00C1077C"/>
    <w:rsid w:val="00C16853"/>
    <w:rsid w:val="00C263F0"/>
    <w:rsid w:val="00C27808"/>
    <w:rsid w:val="00C31D7C"/>
    <w:rsid w:val="00C33D41"/>
    <w:rsid w:val="00C40AFD"/>
    <w:rsid w:val="00C41E20"/>
    <w:rsid w:val="00C42E3E"/>
    <w:rsid w:val="00C43766"/>
    <w:rsid w:val="00C51354"/>
    <w:rsid w:val="00C51C13"/>
    <w:rsid w:val="00C525A5"/>
    <w:rsid w:val="00C5300F"/>
    <w:rsid w:val="00C54594"/>
    <w:rsid w:val="00C56C78"/>
    <w:rsid w:val="00C669A4"/>
    <w:rsid w:val="00C66CE0"/>
    <w:rsid w:val="00C71BED"/>
    <w:rsid w:val="00C720EE"/>
    <w:rsid w:val="00C737B2"/>
    <w:rsid w:val="00C73BEB"/>
    <w:rsid w:val="00C81B53"/>
    <w:rsid w:val="00C81BE4"/>
    <w:rsid w:val="00C81D9B"/>
    <w:rsid w:val="00C82565"/>
    <w:rsid w:val="00C82AD2"/>
    <w:rsid w:val="00C835CF"/>
    <w:rsid w:val="00C84822"/>
    <w:rsid w:val="00C85527"/>
    <w:rsid w:val="00C90F9D"/>
    <w:rsid w:val="00C90FB6"/>
    <w:rsid w:val="00C9220E"/>
    <w:rsid w:val="00C932BD"/>
    <w:rsid w:val="00C93429"/>
    <w:rsid w:val="00C97094"/>
    <w:rsid w:val="00CA16C5"/>
    <w:rsid w:val="00CA297C"/>
    <w:rsid w:val="00CA415A"/>
    <w:rsid w:val="00CA5052"/>
    <w:rsid w:val="00CA6C28"/>
    <w:rsid w:val="00CA7A35"/>
    <w:rsid w:val="00CB0BA4"/>
    <w:rsid w:val="00CB1536"/>
    <w:rsid w:val="00CB7FB8"/>
    <w:rsid w:val="00CC064E"/>
    <w:rsid w:val="00CC17FD"/>
    <w:rsid w:val="00CC1F71"/>
    <w:rsid w:val="00CC5454"/>
    <w:rsid w:val="00CC5588"/>
    <w:rsid w:val="00CC5EB3"/>
    <w:rsid w:val="00CD0E7B"/>
    <w:rsid w:val="00CD2ABD"/>
    <w:rsid w:val="00CD3B3D"/>
    <w:rsid w:val="00CD4024"/>
    <w:rsid w:val="00CD4617"/>
    <w:rsid w:val="00CD4855"/>
    <w:rsid w:val="00CD6417"/>
    <w:rsid w:val="00CE4DFE"/>
    <w:rsid w:val="00CE6B16"/>
    <w:rsid w:val="00CE6D43"/>
    <w:rsid w:val="00CE7888"/>
    <w:rsid w:val="00CF3969"/>
    <w:rsid w:val="00D03055"/>
    <w:rsid w:val="00D10E1C"/>
    <w:rsid w:val="00D122F6"/>
    <w:rsid w:val="00D1276D"/>
    <w:rsid w:val="00D161A3"/>
    <w:rsid w:val="00D22E49"/>
    <w:rsid w:val="00D234D4"/>
    <w:rsid w:val="00D23716"/>
    <w:rsid w:val="00D25ED8"/>
    <w:rsid w:val="00D27F8F"/>
    <w:rsid w:val="00D316B8"/>
    <w:rsid w:val="00D31CFC"/>
    <w:rsid w:val="00D3255D"/>
    <w:rsid w:val="00D32B59"/>
    <w:rsid w:val="00D340C3"/>
    <w:rsid w:val="00D3648E"/>
    <w:rsid w:val="00D37885"/>
    <w:rsid w:val="00D409CD"/>
    <w:rsid w:val="00D423D4"/>
    <w:rsid w:val="00D42CAF"/>
    <w:rsid w:val="00D44CFA"/>
    <w:rsid w:val="00D44E95"/>
    <w:rsid w:val="00D454DC"/>
    <w:rsid w:val="00D5310F"/>
    <w:rsid w:val="00D57348"/>
    <w:rsid w:val="00D601EF"/>
    <w:rsid w:val="00D61533"/>
    <w:rsid w:val="00D63B2F"/>
    <w:rsid w:val="00D70747"/>
    <w:rsid w:val="00D71B7B"/>
    <w:rsid w:val="00D71ECE"/>
    <w:rsid w:val="00D7261D"/>
    <w:rsid w:val="00D7371B"/>
    <w:rsid w:val="00D755FC"/>
    <w:rsid w:val="00D76B6D"/>
    <w:rsid w:val="00D8129A"/>
    <w:rsid w:val="00D84D07"/>
    <w:rsid w:val="00D8526A"/>
    <w:rsid w:val="00D90E91"/>
    <w:rsid w:val="00D94C2B"/>
    <w:rsid w:val="00D956EE"/>
    <w:rsid w:val="00DB60E1"/>
    <w:rsid w:val="00DC1347"/>
    <w:rsid w:val="00DC39F1"/>
    <w:rsid w:val="00DC6560"/>
    <w:rsid w:val="00DE23AD"/>
    <w:rsid w:val="00DE4B35"/>
    <w:rsid w:val="00DF19C1"/>
    <w:rsid w:val="00DF54CA"/>
    <w:rsid w:val="00DF56C9"/>
    <w:rsid w:val="00DF5B64"/>
    <w:rsid w:val="00DF7358"/>
    <w:rsid w:val="00E02794"/>
    <w:rsid w:val="00E043E3"/>
    <w:rsid w:val="00E04660"/>
    <w:rsid w:val="00E0505B"/>
    <w:rsid w:val="00E10CD5"/>
    <w:rsid w:val="00E11280"/>
    <w:rsid w:val="00E12359"/>
    <w:rsid w:val="00E13381"/>
    <w:rsid w:val="00E14136"/>
    <w:rsid w:val="00E152FF"/>
    <w:rsid w:val="00E15BBA"/>
    <w:rsid w:val="00E24595"/>
    <w:rsid w:val="00E2461B"/>
    <w:rsid w:val="00E24886"/>
    <w:rsid w:val="00E25AC4"/>
    <w:rsid w:val="00E25B2C"/>
    <w:rsid w:val="00E27204"/>
    <w:rsid w:val="00E276FB"/>
    <w:rsid w:val="00E322D8"/>
    <w:rsid w:val="00E32595"/>
    <w:rsid w:val="00E32DC6"/>
    <w:rsid w:val="00E33A74"/>
    <w:rsid w:val="00E4030B"/>
    <w:rsid w:val="00E41D56"/>
    <w:rsid w:val="00E43DCA"/>
    <w:rsid w:val="00E457DF"/>
    <w:rsid w:val="00E46642"/>
    <w:rsid w:val="00E5139A"/>
    <w:rsid w:val="00E51D9D"/>
    <w:rsid w:val="00E540B8"/>
    <w:rsid w:val="00E5413D"/>
    <w:rsid w:val="00E57977"/>
    <w:rsid w:val="00E6262B"/>
    <w:rsid w:val="00E635D7"/>
    <w:rsid w:val="00E6744F"/>
    <w:rsid w:val="00E70576"/>
    <w:rsid w:val="00E71615"/>
    <w:rsid w:val="00E71DED"/>
    <w:rsid w:val="00E773A2"/>
    <w:rsid w:val="00E83954"/>
    <w:rsid w:val="00E9166E"/>
    <w:rsid w:val="00E91730"/>
    <w:rsid w:val="00E93F32"/>
    <w:rsid w:val="00E96F04"/>
    <w:rsid w:val="00E97AEC"/>
    <w:rsid w:val="00EA1963"/>
    <w:rsid w:val="00EA20FE"/>
    <w:rsid w:val="00EB491E"/>
    <w:rsid w:val="00EB5BC9"/>
    <w:rsid w:val="00EB681B"/>
    <w:rsid w:val="00EC4FAD"/>
    <w:rsid w:val="00EC61A7"/>
    <w:rsid w:val="00ED282F"/>
    <w:rsid w:val="00ED4F00"/>
    <w:rsid w:val="00ED7AD8"/>
    <w:rsid w:val="00EE1E42"/>
    <w:rsid w:val="00EE3CFA"/>
    <w:rsid w:val="00EE4F36"/>
    <w:rsid w:val="00EE53FA"/>
    <w:rsid w:val="00EE69E4"/>
    <w:rsid w:val="00EF2A7F"/>
    <w:rsid w:val="00EF53E5"/>
    <w:rsid w:val="00EF69A4"/>
    <w:rsid w:val="00EF7D44"/>
    <w:rsid w:val="00EF7E90"/>
    <w:rsid w:val="00F002B6"/>
    <w:rsid w:val="00F02CCA"/>
    <w:rsid w:val="00F04B66"/>
    <w:rsid w:val="00F10AFE"/>
    <w:rsid w:val="00F1525D"/>
    <w:rsid w:val="00F1534A"/>
    <w:rsid w:val="00F15A8D"/>
    <w:rsid w:val="00F15C6C"/>
    <w:rsid w:val="00F17173"/>
    <w:rsid w:val="00F20987"/>
    <w:rsid w:val="00F224DC"/>
    <w:rsid w:val="00F2687F"/>
    <w:rsid w:val="00F26A5E"/>
    <w:rsid w:val="00F26DAF"/>
    <w:rsid w:val="00F26F5B"/>
    <w:rsid w:val="00F276C7"/>
    <w:rsid w:val="00F27F29"/>
    <w:rsid w:val="00F30203"/>
    <w:rsid w:val="00F32D54"/>
    <w:rsid w:val="00F33A04"/>
    <w:rsid w:val="00F33CC7"/>
    <w:rsid w:val="00F344DE"/>
    <w:rsid w:val="00F36C54"/>
    <w:rsid w:val="00F41266"/>
    <w:rsid w:val="00F418EA"/>
    <w:rsid w:val="00F41A29"/>
    <w:rsid w:val="00F44C1C"/>
    <w:rsid w:val="00F463D5"/>
    <w:rsid w:val="00F518DF"/>
    <w:rsid w:val="00F544DB"/>
    <w:rsid w:val="00F62DAB"/>
    <w:rsid w:val="00F6502E"/>
    <w:rsid w:val="00F65663"/>
    <w:rsid w:val="00F73855"/>
    <w:rsid w:val="00F75147"/>
    <w:rsid w:val="00F756C0"/>
    <w:rsid w:val="00F75A40"/>
    <w:rsid w:val="00F77637"/>
    <w:rsid w:val="00F80D5C"/>
    <w:rsid w:val="00F815C5"/>
    <w:rsid w:val="00F82370"/>
    <w:rsid w:val="00F82680"/>
    <w:rsid w:val="00F8435D"/>
    <w:rsid w:val="00F862E5"/>
    <w:rsid w:val="00F87DD0"/>
    <w:rsid w:val="00F92E6B"/>
    <w:rsid w:val="00F93360"/>
    <w:rsid w:val="00F93FE4"/>
    <w:rsid w:val="00F95C36"/>
    <w:rsid w:val="00F97E4E"/>
    <w:rsid w:val="00FA1A40"/>
    <w:rsid w:val="00FA217B"/>
    <w:rsid w:val="00FA34B7"/>
    <w:rsid w:val="00FA4324"/>
    <w:rsid w:val="00FB0BC5"/>
    <w:rsid w:val="00FB0BCC"/>
    <w:rsid w:val="00FB5EC6"/>
    <w:rsid w:val="00FC0FE5"/>
    <w:rsid w:val="00FC2EF0"/>
    <w:rsid w:val="00FD1ABC"/>
    <w:rsid w:val="00FD58D9"/>
    <w:rsid w:val="00FD602C"/>
    <w:rsid w:val="00FD6F1A"/>
    <w:rsid w:val="00FD7DDF"/>
    <w:rsid w:val="00FE1093"/>
    <w:rsid w:val="00FE1CAF"/>
    <w:rsid w:val="00FE4525"/>
    <w:rsid w:val="00FE46A1"/>
    <w:rsid w:val="00FE4C92"/>
    <w:rsid w:val="00FF0FAA"/>
    <w:rsid w:val="00FF2A04"/>
    <w:rsid w:val="00FF3759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,"/>
  <w14:docId w14:val="205EDE55"/>
  <w15:docId w15:val="{ABFE2E09-F1BF-4667-B325-53AB9718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de-DE" w:bidi="de-DE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iPriority="0" w:unhideWhenUsed="1"/>
    <w:lsdException w:name="header" w:locked="1" w:semiHidden="1" w:uiPriority="0" w:unhideWhenUsed="1" w:qFormat="1"/>
    <w:lsdException w:name="footer" w:locked="1" w:semiHidden="1" w:uiPriority="0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FE3"/>
    <w:pPr>
      <w:spacing w:line="288" w:lineRule="auto"/>
      <w:jc w:val="both"/>
    </w:pPr>
    <w:rPr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3E2FE3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3E2FE3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3E2FE3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3E2FE3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3E2FE3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3E2FE3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3E2FE3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E2FE3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3E2FE3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B1536"/>
    <w:rPr>
      <w:kern w:val="28"/>
      <w:lang w:val="hr-HR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CB1536"/>
    <w:rPr>
      <w:lang w:val="hr-HR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CB1536"/>
    <w:rPr>
      <w:lang w:val="hr-HR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CB1536"/>
    <w:rPr>
      <w:lang w:val="hr-HR"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CB1536"/>
    <w:rPr>
      <w:lang w:val="hr-HR" w:eastAsia="en-US" w:bidi="ar-SA"/>
    </w:rPr>
  </w:style>
  <w:style w:type="character" w:customStyle="1" w:styleId="Heading6Char">
    <w:name w:val="Heading 6 Char"/>
    <w:basedOn w:val="DefaultParagraphFont"/>
    <w:link w:val="Heading6"/>
    <w:locked/>
    <w:rsid w:val="00CB1536"/>
    <w:rPr>
      <w:lang w:val="hr-HR" w:eastAsia="en-US" w:bidi="ar-SA"/>
    </w:rPr>
  </w:style>
  <w:style w:type="character" w:customStyle="1" w:styleId="Heading7Char">
    <w:name w:val="Heading 7 Char"/>
    <w:basedOn w:val="DefaultParagraphFont"/>
    <w:link w:val="Heading7"/>
    <w:locked/>
    <w:rsid w:val="00CB1536"/>
    <w:rPr>
      <w:lang w:val="hr-HR" w:eastAsia="en-US" w:bidi="ar-SA"/>
    </w:rPr>
  </w:style>
  <w:style w:type="character" w:customStyle="1" w:styleId="Heading8Char">
    <w:name w:val="Heading 8 Char"/>
    <w:basedOn w:val="DefaultParagraphFont"/>
    <w:link w:val="Heading8"/>
    <w:locked/>
    <w:rsid w:val="00CB1536"/>
    <w:rPr>
      <w:lang w:val="hr-HR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CB1536"/>
    <w:rPr>
      <w:lang w:val="hr-HR" w:eastAsia="en-US" w:bidi="ar-SA"/>
    </w:rPr>
  </w:style>
  <w:style w:type="paragraph" w:styleId="Footer">
    <w:name w:val="footer"/>
    <w:basedOn w:val="Normal"/>
    <w:link w:val="FooterChar"/>
    <w:qFormat/>
    <w:rsid w:val="003E2FE3"/>
  </w:style>
  <w:style w:type="character" w:customStyle="1" w:styleId="FooterChar">
    <w:name w:val="Footer Char"/>
    <w:basedOn w:val="DefaultParagraphFont"/>
    <w:link w:val="Footer"/>
    <w:locked/>
    <w:rsid w:val="00CB1536"/>
    <w:rPr>
      <w:lang w:val="hr-HR" w:eastAsia="en-US" w:bidi="ar-SA"/>
    </w:rPr>
  </w:style>
  <w:style w:type="paragraph" w:styleId="FootnoteText">
    <w:name w:val="footnote text"/>
    <w:basedOn w:val="Normal"/>
    <w:link w:val="FootnoteTextChar"/>
    <w:qFormat/>
    <w:rsid w:val="003E2FE3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locked/>
    <w:rsid w:val="00CB1536"/>
    <w:rPr>
      <w:sz w:val="16"/>
      <w:lang w:val="hr-HR" w:eastAsia="en-US" w:bidi="ar-SA"/>
    </w:rPr>
  </w:style>
  <w:style w:type="paragraph" w:styleId="Header">
    <w:name w:val="header"/>
    <w:basedOn w:val="Normal"/>
    <w:link w:val="HeaderChar"/>
    <w:qFormat/>
    <w:rsid w:val="003E2FE3"/>
  </w:style>
  <w:style w:type="character" w:customStyle="1" w:styleId="HeaderChar">
    <w:name w:val="Header Char"/>
    <w:basedOn w:val="DefaultParagraphFont"/>
    <w:link w:val="Header"/>
    <w:locked/>
    <w:rsid w:val="00CB1536"/>
    <w:rPr>
      <w:lang w:val="hr-HR" w:eastAsia="en-US" w:bidi="ar-SA"/>
    </w:rPr>
  </w:style>
  <w:style w:type="character" w:styleId="Hyperlink">
    <w:name w:val="Hyperlink"/>
    <w:basedOn w:val="DefaultParagraphFont"/>
    <w:uiPriority w:val="99"/>
    <w:rsid w:val="00934C10"/>
    <w:rPr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3E2FE3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sid w:val="00934C10"/>
    <w:rPr>
      <w:color w:val="800080"/>
      <w:u w:val="single"/>
    </w:rPr>
  </w:style>
  <w:style w:type="paragraph" w:customStyle="1" w:styleId="LOGO">
    <w:name w:val="LOGO"/>
    <w:basedOn w:val="Normal"/>
    <w:uiPriority w:val="99"/>
    <w:rsid w:val="00934C10"/>
    <w:pPr>
      <w:jc w:val="center"/>
    </w:pPr>
    <w:rPr>
      <w:rFonts w:ascii="Arial" w:hAnsi="Arial" w:cs="Arial"/>
      <w:b/>
      <w:bCs/>
      <w:i/>
      <w:iCs/>
      <w:sz w:val="20"/>
    </w:rPr>
  </w:style>
  <w:style w:type="paragraph" w:styleId="Revision">
    <w:name w:val="Revision"/>
    <w:hidden/>
    <w:uiPriority w:val="99"/>
    <w:semiHidden/>
    <w:rsid w:val="00B2372C"/>
  </w:style>
  <w:style w:type="paragraph" w:customStyle="1" w:styleId="quotes">
    <w:name w:val="quotes"/>
    <w:basedOn w:val="Normal"/>
    <w:next w:val="Normal"/>
    <w:rsid w:val="003E2FE3"/>
    <w:pPr>
      <w:ind w:left="720"/>
    </w:pPr>
    <w:rPr>
      <w:i/>
    </w:rPr>
  </w:style>
  <w:style w:type="table" w:styleId="TableGrid">
    <w:name w:val="Table Grid"/>
    <w:basedOn w:val="TableNormal"/>
    <w:locked/>
    <w:rsid w:val="00A50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6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63B"/>
    <w:rPr>
      <w:rFonts w:ascii="Segoe UI" w:hAnsi="Segoe UI" w:cs="Segoe UI"/>
      <w:sz w:val="18"/>
      <w:szCs w:val="18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tf-europe.org/resource/joint-cer-etf-opinion-protection-of-staff-september-2013" TargetMode="External"/><Relationship Id="rId2" Type="http://schemas.openxmlformats.org/officeDocument/2006/relationships/hyperlink" Target="https://eur-lex.europa.eu/legal-content/HR/TXT/?uri=CELEX:32010R0913&amp;qid=1615486693087" TargetMode="External"/><Relationship Id="rId1" Type="http://schemas.openxmlformats.org/officeDocument/2006/relationships/hyperlink" Target="https://eur-lex.europa.eu/legal-content/hr/TXT/?uri=CELEX:52020SC0331&amp;qid=16154866197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a99570-6012-4083-bfeb-7d32ad1ce1a3">VV634QRNENMJ-2141480542-13815</_dlc_DocId>
    <_dlc_DocIdUrl xmlns="cda99570-6012-4083-bfeb-7d32ad1ce1a3">
      <Url>http://dm2016/eesc/2020/_layouts/15/DocIdRedir.aspx?ID=VV634QRNENMJ-2141480542-13815</Url>
      <Description>VV634QRNENMJ-2141480542-13815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</TermName>
          <TermId xmlns="http://schemas.microsoft.com/office/infopath/2007/PartnerControls">a4cc1d15-fb08-4679-ad46-e4e0cba5fe92</TermId>
        </TermInfo>
      </Terms>
    </DocumentType_0>
    <Procedure xmlns="cda99570-6012-4083-bfeb-7d32ad1ce1a3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cda99570-6012-4083-bfeb-7d32ad1ce1a3">2021-04-09T12:00:00+00:00</ProductionDate>
    <DocumentNumber xmlns="de9c580c-2aa5-4762-938d-521e4861f44f">5425</DocumentNumber>
    <FicheYear xmlns="cda99570-6012-4083-bfeb-7d32ad1ce1a3" xsi:nil="true"/>
    <DocumentVersion xmlns="cda99570-6012-4083-bfeb-7d32ad1ce1a3">1</DocumentVersion>
    <DossierNumber xmlns="cda99570-6012-4083-bfeb-7d32ad1ce1a3">727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cda99570-6012-4083-bfeb-7d32ad1ce1a3" xsi:nil="true"/>
    <TaxCatchAll xmlns="cda99570-6012-4083-bfeb-7d32ad1ce1a3">
      <Value>70</Value>
      <Value>69</Value>
      <Value>48</Value>
      <Value>47</Value>
      <Value>46</Value>
      <Value>45</Value>
      <Value>44</Value>
      <Value>43</Value>
      <Value>41</Value>
      <Value>40</Value>
      <Value>39</Value>
      <Value>38</Value>
      <Value>36</Value>
      <Value>34</Value>
      <Value>32</Value>
      <Value>31</Value>
      <Value>30</Value>
      <Value>29</Value>
      <Value>28</Value>
      <Value>24</Value>
      <Value>16</Value>
      <Value>13</Value>
      <Value>11</Value>
      <Value>10</Value>
      <Value>9</Value>
      <Value>6</Value>
      <Value>5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</Terms>
    </DocumentLanguage_0>
    <Rapporteur xmlns="cda99570-6012-4083-bfeb-7d32ad1ce1a3">BACK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cda99570-6012-4083-bfeb-7d32ad1ce1a3">2020</DocumentYear>
    <FicheNumber xmlns="cda99570-6012-4083-bfeb-7d32ad1ce1a3">4756</FicheNumber>
    <DocumentPart xmlns="cda99570-6012-4083-bfeb-7d32ad1ce1a3">0</DocumentPart>
    <AdoptionDate xmlns="cda99570-6012-4083-bfeb-7d32ad1ce1a3">2021-03-24T12:00:00+00:00</AdoptionDate>
    <RequestingService xmlns="cda99570-6012-4083-bfeb-7d32ad1ce1a3">Transports, énergie, infrastructures, société de l'information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GA</TermName>
          <TermId xmlns="http://schemas.microsoft.com/office/infopath/2007/PartnerControls">762d2456-c427-4ecb-b312-af3dad8e258c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de9c580c-2aa5-4762-938d-521e4861f44f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</TermName>
          <TermId xmlns="http://schemas.microsoft.com/office/infopath/2007/PartnerControls">5e12260d-3aca-41f8-baf2-ad3d18475f10</TermId>
        </TermInfo>
      </Terms>
    </DossierName_0>
    <OriginalSender xmlns="cda99570-6012-4083-bfeb-7d32ad1ce1a3">
      <UserInfo>
        <DisplayName/>
        <AccountId xsi:nil="true"/>
        <AccountType/>
      </UserInfo>
    </OriginalSen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76B3A83997D445469E673E9B07871DA8" ma:contentTypeVersion="5" ma:contentTypeDescription="Defines the documents for Document Manager V2" ma:contentTypeScope="" ma:versionID="3807680802e1b3875a4c14e2078d7512">
  <xsd:schema xmlns:xsd="http://www.w3.org/2001/XMLSchema" xmlns:xs="http://www.w3.org/2001/XMLSchema" xmlns:p="http://schemas.microsoft.com/office/2006/metadata/properties" xmlns:ns2="cda99570-6012-4083-bfeb-7d32ad1ce1a3" xmlns:ns3="http://schemas.microsoft.com/sharepoint/v3/fields" xmlns:ns4="de9c580c-2aa5-4762-938d-521e4861f44f" targetNamespace="http://schemas.microsoft.com/office/2006/metadata/properties" ma:root="true" ma:fieldsID="e871b212030a88cdebf8bdf288e4bdf8" ns2:_="" ns3:_="" ns4:_="">
    <xsd:import namespace="cda99570-6012-4083-bfeb-7d32ad1ce1a3"/>
    <xsd:import namespace="http://schemas.microsoft.com/sharepoint/v3/fields"/>
    <xsd:import namespace="de9c580c-2aa5-4762-938d-521e4861f4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  <xsd:element ref="ns2:OriginalSen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99570-6012-4083-bfeb-7d32ad1ce1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DossierNumber" ma:index="14" nillable="true" ma:displayName="Dossier Number" ma:decimals="0" ma:internalName="DossierNumber">
      <xsd:simpleType>
        <xsd:restriction base="dms:Unknown"/>
      </xsd:simpleType>
    </xsd:element>
    <xsd:element name="Rapporteur" ma:index="16" nillable="true" ma:displayName="Rapporteur" ma:internalName="Rapporteur">
      <xsd:simpleType>
        <xsd:restriction base="dms:Text"/>
      </xsd:simpleType>
    </xsd:element>
    <xsd:element name="AdoptionDate" ma:index="17" nillable="true" ma:displayName="Adoption Date" ma:format="DateOnly" ma:internalName="AdoptionDate">
      <xsd:simpleType>
        <xsd:restriction base="dms:DateTime"/>
      </xsd:simpleType>
    </xsd:element>
    <xsd:element name="TaxCatchAll" ma:index="19" nillable="true" ma:displayName="Taxonomy Catch All Column" ma:hidden="true" ma:list="{0d0d295d-627a-4c5d-a1a5-11c9952cac30}" ma:internalName="TaxCatchAll" ma:showField="CatchAllData" ma:web="cda99570-6012-4083-bfeb-7d32ad1ce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0d0d295d-627a-4c5d-a1a5-11c9952cac30}" ma:internalName="TaxCatchAllLabel" ma:readOnly="true" ma:showField="CatchAllDataLabel" ma:web="cda99570-6012-4083-bfeb-7d32ad1ce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5" nillable="true" ma:displayName="Meeting Date" ma:format="DateOnly" ma:internalName="MeetingDate">
      <xsd:simpleType>
        <xsd:restriction base="dms:DateTime"/>
      </xsd:simpleType>
    </xsd:element>
    <xsd:element name="Procedure" ma:index="28" nillable="true" ma:displayName="Procedure" ma:internalName="Procedure">
      <xsd:simpleType>
        <xsd:restriction base="dms:Text"/>
      </xsd:simpleType>
    </xsd:element>
    <xsd:element name="DocumentYear" ma:index="33" ma:displayName="Document Year" ma:decimals="0" ma:internalName="DocumentYear">
      <xsd:simpleType>
        <xsd:restriction base="dms:Unknown"/>
      </xsd:simpleType>
    </xsd:element>
    <xsd:element name="DocumentPart" ma:index="36" nillable="true" ma:displayName="Document Part" ma:decimals="0" ma:internalName="DocumentPart">
      <xsd:simpleType>
        <xsd:restriction base="dms:Unknown"/>
      </xsd:simpleType>
    </xsd:element>
    <xsd:element name="FicheYear" ma:index="41" nillable="true" ma:displayName="Fiche Year" ma:decimals="0" ma:internalName="FicheYear">
      <xsd:simpleType>
        <xsd:restriction base="dms:Unknown"/>
      </xsd:simpleType>
    </xsd:element>
    <xsd:element name="RequestingService" ma:index="42" nillable="true" ma:displayName="Requesting Service" ma:internalName="RequestingService">
      <xsd:simpleType>
        <xsd:restriction base="dms:Text"/>
      </xsd:simpleType>
    </xsd:element>
    <xsd:element name="FicheNumber" ma:index="43" nillable="true" ma:displayName="Fiche Number" ma:decimals="0" ma:internalName="FicheNumber">
      <xsd:simpleType>
        <xsd:restriction base="dms:Unknown"/>
      </xsd:simpleType>
    </xsd:element>
    <xsd:element name="DocumentVersion" ma:index="46" nillable="true" ma:displayName="Document Version" ma:decimals="0" ma:internalName="DocumentVersion">
      <xsd:simpleType>
        <xsd:restriction base="dms:Unknown"/>
      </xsd:simpleType>
    </xsd:element>
    <xsd:element name="OriginalSender" ma:index="47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8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2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6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29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1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4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7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9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4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c580c-2aa5-4762-938d-521e4861f44f" elementFormDefault="qualified">
    <xsd:import namespace="http://schemas.microsoft.com/office/2006/documentManagement/types"/>
    <xsd:import namespace="http://schemas.microsoft.com/office/infopath/2007/PartnerControls"/>
    <xsd:element name="MeetingNumber" ma:index="15" nillable="true" ma:displayName="Meeting Number" ma:decimals="0" ma:indexed="true" ma:internalName="MeetingNumber">
      <xsd:simpleType>
        <xsd:restriction base="dms:Unknown"/>
      </xsd:simpleType>
    </xsd:element>
    <xsd:element name="DocumentNumber" ma:index="24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10054-574F-4574-BEB9-BEE8D2B7BE5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da99570-6012-4083-bfeb-7d32ad1ce1a3"/>
    <ds:schemaRef ds:uri="http://schemas.microsoft.com/office/infopath/2007/PartnerControls"/>
    <ds:schemaRef ds:uri="http://schemas.microsoft.com/sharepoint/v3/fields"/>
    <ds:schemaRef ds:uri="http://purl.org/dc/terms/"/>
    <ds:schemaRef ds:uri="http://schemas.openxmlformats.org/package/2006/metadata/core-properties"/>
    <ds:schemaRef ds:uri="de9c580c-2aa5-4762-938d-521e4861f4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7C17A0-A300-4857-8165-4512762C0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8082F-EA00-445D-8DA5-01D25BD95F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C7540C-4AE0-4B02-9193-9893D9557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5198</Words>
  <Characters>32580</Characters>
  <Application>Microsoft Office Word</Application>
  <DocSecurity>0</DocSecurity>
  <Lines>271</Lines>
  <Paragraphs>75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The Single European Railway area</vt:lpstr>
      <vt:lpstr>The Single European Railway area</vt:lpstr>
      <vt:lpstr>European Agenda on Migration: Second implementation package - A permanent crisis relocation mechanism under the Dublin system</vt:lpstr>
    </vt:vector>
  </TitlesOfParts>
  <Company>CESE-CdR</Company>
  <LinksUpToDate>false</LinksUpToDate>
  <CharactersWithSpaces>37703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Jedinstveni europski željeznički prostor</dc:title>
  <dc:subject>AC</dc:subject>
  <dc:creator>Emma Nieddu</dc:creator>
  <cp:keywords>EESC-2020-05425-00-01-AC-TRA-EN</cp:keywords>
  <dc:description>Rapporteur: BACK - Original language: EN - Date of document: 09.04.2021 - Date of meeting:  - External documents:  - Administrator: M. RIBEIRO PEREIRA António Fernando</dc:description>
  <cp:lastModifiedBy>Nieddu Emma</cp:lastModifiedBy>
  <cp:revision>4</cp:revision>
  <cp:lastPrinted>2021-03-11T10:43:00Z</cp:lastPrinted>
  <dcterms:created xsi:type="dcterms:W3CDTF">2021-04-09T08:54:00Z</dcterms:created>
  <dcterms:modified xsi:type="dcterms:W3CDTF">2021-04-21T06:34:00Z</dcterms:modified>
  <cp:category>TEN/727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08/04/2021, 08/04/2021, 29/03/2021, 29/03/2021, 12/03/2021, 12/03/2021, 24/02/2021, 24/02/2021, 29/01/2021, 16/12/2020, 28/09/2020, 14/09/2020, 04/11/2015, 27/10/2015, 19/10/2015, 09/10/2015, 05/10/2015, 05/10/2015, 26/08/2015, 26/08/2015, 25/08/2015</vt:lpwstr>
  </property>
  <property fmtid="{D5CDD505-2E9C-101B-9397-08002B2CF9AE}" pid="4" name="Pref_Time">
    <vt:lpwstr>09:37:20, 09:05:39, 10:25:26, 10:18:32, 14:32:18, 14:22:42, 15:43:47, 15:06:57, 17:32:40, 16:49:55, 14:47:33, 13:56:52, 12:10:07, 14:44:02, 16:04:16, 14:09:30, 16:24:55, 16:04:02, 08:56:14, 07:27:56, 17:31:53</vt:lpwstr>
  </property>
  <property fmtid="{D5CDD505-2E9C-101B-9397-08002B2CF9AE}" pid="5" name="Pref_User">
    <vt:lpwstr>hnic, ymur, hnic, htoo, enied, htoo, hnic, YMUR, hnic, amett, hnic, mkop, ssex, enied, amett, tvoc, mreg, mreg, amett, enied, ssex</vt:lpwstr>
  </property>
  <property fmtid="{D5CDD505-2E9C-101B-9397-08002B2CF9AE}" pid="6" name="Pref_FileName">
    <vt:lpwstr>EESC-2020-05425-00-01-AC-TRA-EN-CRR.docx, EESC-2020-05425-00-01-AC-CRR-EN.docx, EESC-2020-05425-00-00-AC-TRA-EN-CRR.docx, EESC-2020-05425-00-00-AC-CRR-EN.docx, EESC-2020-05425-00-00-AS-TRA-EN-CRR.docx, EESC-2020-05425-00-00-AS-CRR-EN.docx, EESC-2020-05425</vt:lpwstr>
  </property>
  <property fmtid="{D5CDD505-2E9C-101B-9397-08002B2CF9AE}" pid="7" name="ContentTypeId">
    <vt:lpwstr>0x010100EA97B91038054C99906057A708A1480A0076B3A83997D445469E673E9B07871DA8</vt:lpwstr>
  </property>
  <property fmtid="{D5CDD505-2E9C-101B-9397-08002B2CF9AE}" pid="8" name="_dlc_DocIdItemGuid">
    <vt:lpwstr>9d4ce506-3611-40fe-bb9b-f2d9d0fc4e87</vt:lpwstr>
  </property>
  <property fmtid="{D5CDD505-2E9C-101B-9397-08002B2CF9AE}" pid="9" name="AvailableTranslations">
    <vt:lpwstr>29;#PT|50ccc04a-eadd-42ae-a0cb-acaf45f812ba;#10;#DE|f6b31e5a-26fa-4935-b661-318e46daf27e;#39;#HU|6b229040-c589-4408-b4c1-4285663d20a8;#44;#BG|1a1b3951-7821-4e6a-85f5-5673fc08bd2c;#69;#GA|762d2456-c427-4ecb-b312-af3dad8e258c;#11;#FR|d2afafd3-4c81-4f60-8f52-ee33f2f54ff3;#47;#ET|ff6c3f4c-b02c-4c3c-ab07-2c37995a7a0a;#30;#LT|a7ff5ce7-6123-4f68-865a-a57c31810414;#13;#IT|0774613c-01ed-4e5d-a25d-11d2388de825;#9;#PL|1e03da61-4678-4e07-b136-b5024ca9197b;#38;#EL|6d4f4d51-af9b-4650-94b4-4276bee85c91;#40;#SV|c2ed69e7-a339-43d7-8f22-d93680a92aa0;#46;#SK|46d9fce0-ef79-4f71-b89b-cd6aa82426b8;#24;#LV|46f7e311-5d9f-4663-b433-18aeccb7ace7;#32;#DA|5d49c027-8956-412b-aa16-e85a0f96ad0e;#45;#FI|87606a43-d45f-42d6-b8c9-e1a3457db5b7;#34;#SL|98a412ae-eb01-49e9-ae3d-585a81724cfc;#16;#ES|e7a6b05b-ae16-40c8-add9-68b64b03aeba;#31;#CS|72f9705b-0217-4fd3-bea2-cbc7ed80e26e;#41;#NL|55c6556c-b4f4-441d-9acf-c498d4f838bd;#48;#RO|feb747a2-64cd-4299-af12-4833ddc30497;#36;#MT|7df99101-6854-4a26-b53a-b88c0da02c26;#4;#EN|f2175f21-25d7-44a3-96da-d6a61b075e1b;#43;#HR|2f555653-ed1a-4fe6-8362-9082d95989e5</vt:lpwstr>
  </property>
  <property fmtid="{D5CDD505-2E9C-101B-9397-08002B2CF9AE}" pid="10" name="DocumentType_0">
    <vt:lpwstr>AC|a4cc1d15-fb08-4679-ad46-e4e0cba5fe92</vt:lpwstr>
  </property>
  <property fmtid="{D5CDD505-2E9C-101B-9397-08002B2CF9AE}" pid="11" name="DossierName_0">
    <vt:lpwstr>TEN|5e12260d-3aca-41f8-baf2-ad3d18475f10</vt:lpwstr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5425</vt:i4>
  </property>
  <property fmtid="{D5CDD505-2E9C-101B-9397-08002B2CF9AE}" pid="14" name="DocumentVersion">
    <vt:i4>1</vt:i4>
  </property>
  <property fmtid="{D5CDD505-2E9C-101B-9397-08002B2CF9AE}" pid="15" name="DossierNumber">
    <vt:i4>727</vt:i4>
  </property>
  <property fmtid="{D5CDD505-2E9C-101B-9397-08002B2CF9AE}" pid="16" name="DocumentStatus">
    <vt:lpwstr>2;#TRA|150d2a88-1431-44e6-a8ca-0bb753ab8672</vt:lpwstr>
  </property>
  <property fmtid="{D5CDD505-2E9C-101B-9397-08002B2CF9AE}" pid="17" name="DocumentPart">
    <vt:i4>0</vt:i4>
  </property>
  <property fmtid="{D5CDD505-2E9C-101B-9397-08002B2CF9AE}" pid="18" name="DossierName">
    <vt:lpwstr>28;#TEN|5e12260d-3aca-41f8-baf2-ad3d18475f10</vt:lpwstr>
  </property>
  <property fmtid="{D5CDD505-2E9C-101B-9397-08002B2CF9AE}" pid="19" name="DocumentSource">
    <vt:lpwstr>1;#EESC|422833ec-8d7e-4e65-8e4e-8bed07ffb729</vt:lpwstr>
  </property>
  <property fmtid="{D5CDD505-2E9C-101B-9397-08002B2CF9AE}" pid="20" name="AdoptionDate">
    <vt:filetime>2021-03-24T12:00:00Z</vt:filetime>
  </property>
  <property fmtid="{D5CDD505-2E9C-101B-9397-08002B2CF9AE}" pid="21" name="DocumentType">
    <vt:lpwstr>70;#AC|a4cc1d15-fb08-4679-ad46-e4e0cba5fe92</vt:lpwstr>
  </property>
  <property fmtid="{D5CDD505-2E9C-101B-9397-08002B2CF9AE}" pid="22" name="RequestingService">
    <vt:lpwstr>Transports, énergie, infrastructures, société de l'information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MeetingName_0">
    <vt:lpwstr/>
  </property>
  <property fmtid="{D5CDD505-2E9C-101B-9397-08002B2CF9AE}" pid="25" name="Confidentiality_0">
    <vt:lpwstr>Unrestricted|826e22d7-d029-4ec0-a450-0c28ff673572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/>
  </property>
  <property fmtid="{D5CDD505-2E9C-101B-9397-08002B2CF9AE}" pid="28" name="AvailableTranslations_0">
    <vt:lpwstr>PT|50ccc04a-eadd-42ae-a0cb-acaf45f812ba;BG|1a1b3951-7821-4e6a-85f5-5673fc08bd2c;ET|ff6c3f4c-b02c-4c3c-ab07-2c37995a7a0a;LT|a7ff5ce7-6123-4f68-865a-a57c31810414;IT|0774613c-01ed-4e5d-a25d-11d2388de825;PL|1e03da61-4678-4e07-b136-b5024ca9197b;EL|6d4f4d51-af9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36;#MT|7df99101-6854-4a26-b53a-b88c0da02c26;#70;#AC|a4cc1d15-fb08-4679-ad46-e4e0cba5fe92;#31;#CS|72f9705b-0217-4fd3-bea2-cbc7ed80e26e;#30;#LT|a7ff5ce7-6123-4f68-865a-a57c31810414;#29;#PT|50ccc04a-eadd-42ae-a0cb-acaf45f812ba;#28;#TEN|5e12260d-3aca-41f8-baf</vt:lpwstr>
  </property>
  <property fmtid="{D5CDD505-2E9C-101B-9397-08002B2CF9AE}" pid="32" name="Rapporteur">
    <vt:lpwstr>BACK</vt:lpwstr>
  </property>
  <property fmtid="{D5CDD505-2E9C-101B-9397-08002B2CF9AE}" pid="33" name="VersionStatus_0">
    <vt:lpwstr>Final|ea5e6674-7b27-4bac-b091-73adbb394efe</vt:lpwstr>
  </property>
  <property fmtid="{D5CDD505-2E9C-101B-9397-08002B2CF9AE}" pid="34" name="VersionStatus">
    <vt:lpwstr>6;#Final|ea5e6674-7b27-4bac-b091-73adbb394efe</vt:lpwstr>
  </property>
  <property fmtid="{D5CDD505-2E9C-101B-9397-08002B2CF9AE}" pid="35" name="DocumentYear">
    <vt:i4>2020</vt:i4>
  </property>
  <property fmtid="{D5CDD505-2E9C-101B-9397-08002B2CF9AE}" pid="36" name="FicheNumber">
    <vt:i4>4756</vt:i4>
  </property>
  <property fmtid="{D5CDD505-2E9C-101B-9397-08002B2CF9AE}" pid="37" name="DocumentLanguage">
    <vt:lpwstr>43;#HR|2f555653-ed1a-4fe6-8362-9082d95989e5</vt:lpwstr>
  </property>
</Properties>
</file>